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F11866" w:rsidR="00011BDE" w:rsidP="007D645B" w:rsidRDefault="00072B9B" w14:paraId="6F99234C" wp14:textId="77777777">
      <w:pPr>
        <w:jc w:val="center"/>
        <w:rPr>
          <w:rFonts w:ascii="Calibri" w:hAnsi="Calibri" w:cs="Calibri"/>
          <w:b/>
          <w:sz w:val="28"/>
          <w:szCs w:val="28"/>
          <w:lang w:val="cs-CZ"/>
        </w:rPr>
      </w:pPr>
      <w:r>
        <w:rPr>
          <w:rFonts w:ascii="Calibri" w:hAnsi="Calibri" w:cs="Calibri"/>
          <w:b/>
          <w:bCs/>
          <w:sz w:val="28"/>
          <w:szCs w:val="28"/>
          <w:lang w:val="cs-CZ"/>
        </w:rPr>
        <w:br/>
      </w:r>
      <w:bookmarkStart w:name="_Hlk480805087" w:id="0"/>
      <w:r w:rsidRPr="00F11866" w:rsidR="00D67274">
        <w:rPr>
          <w:rFonts w:ascii="Calibri" w:hAnsi="Calibri" w:cs="Calibri"/>
          <w:b/>
          <w:sz w:val="28"/>
          <w:szCs w:val="28"/>
          <w:lang w:val="cs-CZ"/>
        </w:rPr>
        <w:t>Analýza CBRE: Nájemní</w:t>
      </w:r>
      <w:r w:rsidRPr="00F11866" w:rsidR="00122DD2">
        <w:rPr>
          <w:rFonts w:ascii="Calibri" w:hAnsi="Calibri" w:cs="Calibri"/>
          <w:b/>
          <w:sz w:val="28"/>
          <w:szCs w:val="28"/>
          <w:lang w:val="cs-CZ"/>
        </w:rPr>
        <w:t xml:space="preserve"> bydlení</w:t>
      </w:r>
      <w:r w:rsidRPr="00F11866" w:rsidR="007A4D5B">
        <w:rPr>
          <w:rFonts w:ascii="Calibri" w:hAnsi="Calibri" w:cs="Calibri"/>
          <w:b/>
          <w:sz w:val="28"/>
          <w:szCs w:val="28"/>
          <w:lang w:val="cs-CZ"/>
        </w:rPr>
        <w:t xml:space="preserve"> je na vzestupu. Zájem lidí roste stejně rychle jako poptávka investorů</w:t>
      </w:r>
    </w:p>
    <w:p xmlns:wp14="http://schemas.microsoft.com/office/word/2010/wordml" w:rsidRPr="00F11866" w:rsidR="00FC5CE9" w:rsidP="008253CD" w:rsidRDefault="00FC5CE9" w14:paraId="672A6659" wp14:textId="77777777">
      <w:pPr>
        <w:rPr>
          <w:rFonts w:ascii="Calibri" w:hAnsi="Calibri" w:cs="Calibri"/>
          <w:b/>
          <w:bCs/>
          <w:sz w:val="28"/>
          <w:szCs w:val="28"/>
          <w:lang w:val="cs-CZ"/>
        </w:rPr>
      </w:pPr>
    </w:p>
    <w:p xmlns:wp14="http://schemas.microsoft.com/office/word/2010/wordml" w:rsidRPr="00F11866" w:rsidR="00F11866" w:rsidP="2DC46832" w:rsidRDefault="00FC1C05" w14:paraId="27CE4360" wp14:textId="6B79F9F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lang w:val="cs-CZ"/>
        </w:rPr>
      </w:pPr>
      <w:r w:rsidRPr="2DC46832" w:rsidR="00FC1C05">
        <w:rPr>
          <w:rFonts w:ascii="Calibri" w:hAnsi="Calibri" w:cs="Calibri"/>
          <w:lang w:val="cs-CZ"/>
        </w:rPr>
        <w:t>Praha</w:t>
      </w:r>
      <w:r w:rsidRPr="2DC46832" w:rsidR="005A2A50">
        <w:rPr>
          <w:rFonts w:ascii="Calibri" w:hAnsi="Calibri" w:cs="Calibri"/>
          <w:lang w:val="cs-CZ"/>
        </w:rPr>
        <w:t xml:space="preserve"> </w:t>
      </w:r>
      <w:r w:rsidRPr="2DC46832" w:rsidR="24EBA070">
        <w:rPr>
          <w:rFonts w:ascii="Calibri" w:hAnsi="Calibri" w:cs="Calibri"/>
          <w:lang w:val="cs-CZ"/>
        </w:rPr>
        <w:t xml:space="preserve">12. </w:t>
      </w:r>
      <w:r w:rsidRPr="2DC46832" w:rsidR="00122DD2">
        <w:rPr>
          <w:rFonts w:ascii="Calibri" w:hAnsi="Calibri" w:cs="Calibri"/>
          <w:lang w:val="cs-CZ"/>
        </w:rPr>
        <w:t>května</w:t>
      </w:r>
      <w:r w:rsidRPr="2DC46832" w:rsidR="00FC1C05">
        <w:rPr>
          <w:rFonts w:ascii="Calibri" w:hAnsi="Calibri" w:cs="Calibri"/>
          <w:lang w:val="cs-CZ"/>
        </w:rPr>
        <w:t xml:space="preserve"> </w:t>
      </w:r>
      <w:r w:rsidRPr="2DC46832" w:rsidR="005A2A50">
        <w:rPr>
          <w:rFonts w:ascii="Calibri" w:hAnsi="Calibri" w:cs="Calibri"/>
          <w:lang w:val="cs-CZ"/>
        </w:rPr>
        <w:t>20</w:t>
      </w:r>
      <w:r w:rsidRPr="2DC46832" w:rsidR="004A0670">
        <w:rPr>
          <w:rFonts w:ascii="Calibri" w:hAnsi="Calibri" w:cs="Calibri"/>
          <w:lang w:val="cs-CZ"/>
        </w:rPr>
        <w:t>2</w:t>
      </w:r>
      <w:r w:rsidRPr="2DC46832" w:rsidR="00D26134">
        <w:rPr>
          <w:rFonts w:ascii="Calibri" w:hAnsi="Calibri" w:cs="Calibri"/>
          <w:lang w:val="cs-CZ"/>
        </w:rPr>
        <w:t>1</w:t>
      </w:r>
      <w:r w:rsidRPr="2DC46832" w:rsidR="005A2A50">
        <w:rPr>
          <w:rFonts w:ascii="Calibri" w:hAnsi="Calibri" w:cs="Calibri"/>
          <w:lang w:val="cs-CZ"/>
        </w:rPr>
        <w:t xml:space="preserve"> –</w:t>
      </w:r>
      <w:r w:rsidRPr="2DC46832" w:rsidR="00B10A44">
        <w:rPr>
          <w:rFonts w:ascii="Calibri" w:hAnsi="Calibri" w:cs="Calibri"/>
          <w:lang w:val="cs-CZ"/>
        </w:rPr>
        <w:t xml:space="preserve"> </w:t>
      </w:r>
      <w:r w:rsidRPr="2DC46832" w:rsidR="00122DD2">
        <w:rPr>
          <w:rFonts w:ascii="Calibri" w:hAnsi="Calibri" w:eastAsia="ArnhemPro-BlondItalic" w:cs="Arial"/>
          <w:lang w:val="cs-CZ"/>
        </w:rPr>
        <w:t>Aktuálně žije v Evropě 31 % domácností v nájmu, což je o 5 % více než před deseti lety. A rostoucí trend bude pokračovat i do budoucna</w:t>
      </w:r>
      <w:r w:rsidRPr="2DC46832" w:rsidR="007A4D5B">
        <w:rPr>
          <w:rFonts w:ascii="Calibri" w:hAnsi="Calibri" w:eastAsia="ArnhemPro-BlondItalic" w:cs="Arial"/>
          <w:lang w:val="cs-CZ"/>
        </w:rPr>
        <w:t xml:space="preserve">, jak potvrzuje </w:t>
      </w:r>
      <w:r w:rsidRPr="2DC46832" w:rsidR="00F11866">
        <w:rPr>
          <w:rFonts w:ascii="Calibri" w:hAnsi="Calibri" w:eastAsia="ArnhemPro-BlondItalic" w:cs="Arial"/>
          <w:lang w:val="cs-CZ"/>
        </w:rPr>
        <w:t>nejnovější</w:t>
      </w:r>
      <w:r w:rsidRPr="2DC46832" w:rsidR="007A4D5B">
        <w:rPr>
          <w:rFonts w:ascii="Calibri" w:hAnsi="Calibri" w:eastAsia="ArnhemPro-BlondItalic" w:cs="Arial"/>
          <w:lang w:val="cs-CZ"/>
        </w:rPr>
        <w:t xml:space="preserve"> analýza společnosti CBRE</w:t>
      </w:r>
      <w:r w:rsidRPr="2DC46832" w:rsidR="007A4D5B">
        <w:rPr>
          <w:rFonts w:ascii="Calibri" w:hAnsi="Calibri" w:eastAsia="ArnhemPro-BlondItalic" w:cs="Arial"/>
          <w:lang w:val="cs-CZ"/>
        </w:rPr>
        <w:t>, světového lídra v oblasti komerčních realitních služeb</w:t>
      </w:r>
      <w:r w:rsidRPr="2DC46832" w:rsidR="00122DD2">
        <w:rPr>
          <w:rFonts w:ascii="Calibri" w:hAnsi="Calibri" w:eastAsia="ArnhemPro-BlondItalic" w:cs="Arial"/>
          <w:lang w:val="cs-CZ"/>
        </w:rPr>
        <w:t xml:space="preserve">. Mezi hlavní důvody se řadí </w:t>
      </w:r>
      <w:r w:rsidRPr="2DC46832" w:rsidR="0024770F">
        <w:rPr>
          <w:rFonts w:ascii="Calibri" w:hAnsi="Calibri" w:eastAsia="ArnhemPro-BlondItalic" w:cs="Arial"/>
          <w:lang w:val="cs-CZ"/>
        </w:rPr>
        <w:t xml:space="preserve">nejen </w:t>
      </w:r>
      <w:r w:rsidRPr="2DC46832" w:rsidR="00122DD2">
        <w:rPr>
          <w:rFonts w:ascii="Calibri" w:hAnsi="Calibri" w:eastAsia="ArnhemPro-BlondItalic" w:cs="Arial"/>
          <w:lang w:val="cs-CZ"/>
        </w:rPr>
        <w:t xml:space="preserve">současné sociálně-demografické trendy, ale také menší dostupnost vlastnického bydlení. Podle Oxford </w:t>
      </w:r>
      <w:proofErr w:type="spellStart"/>
      <w:r w:rsidRPr="2DC46832" w:rsidR="00122DD2">
        <w:rPr>
          <w:rFonts w:ascii="Calibri" w:hAnsi="Calibri" w:eastAsia="ArnhemPro-BlondItalic" w:cs="Arial"/>
          <w:lang w:val="cs-CZ"/>
        </w:rPr>
        <w:t>Economics</w:t>
      </w:r>
      <w:proofErr w:type="spellEnd"/>
      <w:r w:rsidRPr="2DC46832" w:rsidR="00122DD2">
        <w:rPr>
          <w:rFonts w:ascii="Calibri" w:hAnsi="Calibri" w:eastAsia="ArnhemPro-BlondItalic" w:cs="Arial"/>
          <w:lang w:val="cs-CZ"/>
        </w:rPr>
        <w:t xml:space="preserve"> rostly ceny domů v Evrop</w:t>
      </w:r>
      <w:r w:rsidRPr="2DC46832" w:rsidR="0024770F">
        <w:rPr>
          <w:rFonts w:ascii="Calibri" w:hAnsi="Calibri" w:eastAsia="ArnhemPro-BlondItalic" w:cs="Arial"/>
          <w:lang w:val="cs-CZ"/>
        </w:rPr>
        <w:t>ě od roku 2000 o 3,2 % ročně. O</w:t>
      </w:r>
      <w:r w:rsidRPr="2DC46832" w:rsidR="00122DD2">
        <w:rPr>
          <w:rFonts w:ascii="Calibri" w:hAnsi="Calibri" w:eastAsia="ArnhemPro-BlondItalic" w:cs="Arial"/>
          <w:lang w:val="cs-CZ"/>
        </w:rPr>
        <w:t>proti tomu reálné mzdy pouze o 0,5 %. To</w:t>
      </w:r>
      <w:r w:rsidRPr="2DC46832" w:rsidR="00C011DF">
        <w:rPr>
          <w:rFonts w:ascii="Calibri" w:hAnsi="Calibri" w:eastAsia="ArnhemPro-BlondItalic" w:cs="Arial"/>
          <w:lang w:val="cs-CZ"/>
        </w:rPr>
        <w:t> </w:t>
      </w:r>
      <w:r w:rsidRPr="2DC46832" w:rsidR="00122DD2">
        <w:rPr>
          <w:rFonts w:ascii="Calibri" w:hAnsi="Calibri" w:eastAsia="ArnhemPro-BlondItalic" w:cs="Arial"/>
          <w:lang w:val="cs-CZ"/>
        </w:rPr>
        <w:t xml:space="preserve">znamená, že zatímco současné </w:t>
      </w:r>
      <w:r w:rsidRPr="2DC46832" w:rsidR="00737BAE">
        <w:rPr>
          <w:rFonts w:ascii="Calibri" w:hAnsi="Calibri" w:eastAsia="ArnhemPro-BlondItalic" w:cs="Arial"/>
          <w:lang w:val="cs-CZ"/>
        </w:rPr>
        <w:t>příjmy</w:t>
      </w:r>
      <w:r w:rsidRPr="2DC46832" w:rsidR="00122DD2">
        <w:rPr>
          <w:rFonts w:ascii="Calibri" w:hAnsi="Calibri" w:eastAsia="ArnhemPro-BlondItalic" w:cs="Arial"/>
          <w:lang w:val="cs-CZ"/>
        </w:rPr>
        <w:t xml:space="preserve"> jsou pouze o 9 % vyšší než v roce 2000, ceny domů mezitím zdražily o 80 %. </w:t>
      </w:r>
      <w:r w:rsidRPr="2DC46832" w:rsidR="00F11866">
        <w:rPr>
          <w:rFonts w:ascii="Calibri" w:hAnsi="Calibri" w:eastAsia="ArnhemPro-BlondItalic" w:cs="Arial"/>
          <w:lang w:val="cs-CZ"/>
        </w:rPr>
        <w:t xml:space="preserve">I když nájemní bydlení není </w:t>
      </w:r>
      <w:r w:rsidRPr="2DC46832" w:rsidR="0024770F">
        <w:rPr>
          <w:rFonts w:ascii="Calibri" w:hAnsi="Calibri" w:eastAsia="ArnhemPro-BlondItalic" w:cs="Arial"/>
          <w:lang w:val="cs-CZ"/>
        </w:rPr>
        <w:t xml:space="preserve">na </w:t>
      </w:r>
      <w:r w:rsidRPr="2DC46832" w:rsidR="0024770F">
        <w:rPr>
          <w:rFonts w:ascii="Calibri" w:hAnsi="Calibri" w:eastAsia="ArnhemPro-BlondItalic" w:cs="Arial"/>
          <w:lang w:val="cs-CZ"/>
        </w:rPr>
        <w:t xml:space="preserve">rezidenčním </w:t>
      </w:r>
      <w:r w:rsidRPr="2DC46832" w:rsidR="0024770F">
        <w:rPr>
          <w:rFonts w:ascii="Calibri" w:hAnsi="Calibri" w:eastAsia="ArnhemPro-BlondItalic" w:cs="Arial"/>
          <w:lang w:val="cs-CZ"/>
        </w:rPr>
        <w:t xml:space="preserve">trhu </w:t>
      </w:r>
      <w:r w:rsidRPr="2DC46832" w:rsidR="00F11866">
        <w:rPr>
          <w:rFonts w:ascii="Calibri" w:hAnsi="Calibri" w:eastAsia="ArnhemPro-BlondItalic" w:cs="Arial"/>
          <w:lang w:val="cs-CZ"/>
        </w:rPr>
        <w:t xml:space="preserve">žádnou novinkou, zásadně se proměňuje způsob jeho poskytování. Zatímco historicky </w:t>
      </w:r>
      <w:r w:rsidRPr="2DC46832" w:rsidR="00423A31">
        <w:rPr>
          <w:rFonts w:ascii="Calibri" w:hAnsi="Calibri" w:eastAsia="ArnhemPro-BlondItalic" w:cs="Arial"/>
          <w:lang w:val="cs-CZ"/>
        </w:rPr>
        <w:t>jej</w:t>
      </w:r>
      <w:r w:rsidRPr="2DC46832" w:rsidR="00F11866">
        <w:rPr>
          <w:rFonts w:ascii="Calibri" w:hAnsi="Calibri" w:eastAsia="ArnhemPro-BlondItalic" w:cs="Arial"/>
          <w:lang w:val="cs-CZ"/>
        </w:rPr>
        <w:t xml:space="preserve"> nabízel především stát </w:t>
      </w:r>
      <w:r w:rsidRPr="2DC46832" w:rsidR="00484B4F">
        <w:rPr>
          <w:rFonts w:ascii="Calibri" w:hAnsi="Calibri" w:eastAsia="ArnhemPro-BlondItalic" w:cs="Arial"/>
          <w:lang w:val="cs-CZ"/>
        </w:rPr>
        <w:t>a</w:t>
      </w:r>
      <w:r w:rsidRPr="2DC46832" w:rsidR="00F11866">
        <w:rPr>
          <w:rFonts w:ascii="Calibri" w:hAnsi="Calibri" w:eastAsia="ArnhemPro-BlondItalic" w:cs="Arial"/>
          <w:lang w:val="cs-CZ"/>
        </w:rPr>
        <w:t xml:space="preserve">nebo jednotliví pronajímatelé, nyní se k nim stále častěji připojují velcí soukromí a institucionální investoři. </w:t>
      </w:r>
    </w:p>
    <w:p xmlns:wp14="http://schemas.microsoft.com/office/word/2010/wordml" w:rsidRPr="00F11866" w:rsidR="00F11866" w:rsidP="00F11866" w:rsidRDefault="00F11866" w14:paraId="0A37501D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Cs/>
          <w:lang w:val="cs-CZ"/>
        </w:rPr>
      </w:pPr>
    </w:p>
    <w:p xmlns:wp14="http://schemas.microsoft.com/office/word/2010/wordml" w:rsidRPr="00EB5D15" w:rsidR="00122DD2" w:rsidP="00122DD2" w:rsidRDefault="00A315A0" w14:paraId="6D57352A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/>
          <w:iCs/>
          <w:lang w:val="cs-CZ"/>
        </w:rPr>
      </w:pPr>
      <w:r w:rsidRPr="00EB5D15">
        <w:rPr>
          <w:rFonts w:ascii="Calibri" w:hAnsi="Calibri" w:eastAsia="ArnhemPro-BlondItalic" w:cs="Arial"/>
          <w:i/>
          <w:iCs/>
          <w:lang w:val="cs-CZ"/>
        </w:rPr>
        <w:t>„</w:t>
      </w:r>
      <w:r w:rsidR="009E41CC">
        <w:rPr>
          <w:rFonts w:ascii="Calibri" w:hAnsi="Calibri" w:eastAsia="ArnhemPro-BlondItalic" w:cs="Arial"/>
          <w:i/>
          <w:iCs/>
          <w:lang w:val="cs-CZ"/>
        </w:rPr>
        <w:t>Produkty n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>ájemní</w:t>
      </w:r>
      <w:r w:rsidR="009E41CC">
        <w:rPr>
          <w:rFonts w:ascii="Calibri" w:hAnsi="Calibri" w:eastAsia="ArnhemPro-BlondItalic" w:cs="Arial"/>
          <w:i/>
          <w:iCs/>
          <w:lang w:val="cs-CZ"/>
        </w:rPr>
        <w:t>ho bydlení se stávají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významným investičním aktivem, které vlivem pandemie ještě nabylo na atraktivitě a zaujímá stále rostoucí podíl na celkových investicích do komerčních realit.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 </w:t>
      </w:r>
      <w:r w:rsidR="0011736A">
        <w:rPr>
          <w:rFonts w:ascii="Calibri" w:hAnsi="Calibri" w:eastAsia="ArnhemPro-BlondItalic" w:cs="Arial"/>
          <w:i/>
          <w:iCs/>
          <w:lang w:val="cs-CZ"/>
        </w:rPr>
        <w:t xml:space="preserve">V současné době 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tvoří 17 % všech investic v Evropě, přičemž před deseti lety </w:t>
      </w:r>
      <w:r w:rsidRPr="00EB5D15" w:rsidR="0099208B">
        <w:rPr>
          <w:rFonts w:ascii="Calibri" w:hAnsi="Calibri" w:eastAsia="ArnhemPro-BlondItalic" w:cs="Arial"/>
          <w:i/>
          <w:iCs/>
          <w:lang w:val="cs-CZ"/>
        </w:rPr>
        <w:t>to byly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pouhé 2</w:t>
      </w:r>
      <w:r w:rsidR="00D11C62">
        <w:rPr>
          <w:rFonts w:ascii="Calibri" w:hAnsi="Calibri" w:eastAsia="ArnhemPro-BlondItalic" w:cs="Arial"/>
          <w:i/>
          <w:iCs/>
          <w:lang w:val="cs-CZ"/>
        </w:rPr>
        <w:t> 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%. </w:t>
      </w:r>
      <w:r w:rsidRPr="00EB5D15" w:rsidR="00F11866">
        <w:rPr>
          <w:rFonts w:ascii="Calibri" w:hAnsi="Calibri" w:eastAsia="ArnhemPro-BlondItalic" w:cs="Arial"/>
          <w:i/>
          <w:iCs/>
          <w:lang w:val="cs-CZ"/>
        </w:rPr>
        <w:t>Dok</w:t>
      </w:r>
      <w:r w:rsidR="0024770F">
        <w:rPr>
          <w:rFonts w:ascii="Calibri" w:hAnsi="Calibri" w:eastAsia="ArnhemPro-BlondItalic" w:cs="Arial"/>
          <w:i/>
          <w:iCs/>
          <w:lang w:val="cs-CZ"/>
        </w:rPr>
        <w:t>ládají to i výsledky za loňský</w:t>
      </w:r>
      <w:r w:rsidRPr="00EB5D15" w:rsidR="00F11866">
        <w:rPr>
          <w:rFonts w:ascii="Calibri" w:hAnsi="Calibri" w:eastAsia="ArnhemPro-BlondItalic" w:cs="Arial"/>
          <w:i/>
          <w:iCs/>
          <w:lang w:val="cs-CZ"/>
        </w:rPr>
        <w:t xml:space="preserve"> rok. Zatímco celkové i</w:t>
      </w:r>
      <w:r w:rsidRPr="00A315A0" w:rsidR="00F11866">
        <w:rPr>
          <w:rFonts w:ascii="Calibri" w:hAnsi="Calibri" w:eastAsia="ArnhemPro-BlondItalic" w:cs="Arial"/>
          <w:i/>
          <w:iCs/>
          <w:lang w:val="cs-CZ"/>
        </w:rPr>
        <w:t xml:space="preserve">nvestice do komerčních nemovitostí </w:t>
      </w:r>
      <w:r w:rsidRPr="00A315A0" w:rsidR="00DE4A5C">
        <w:rPr>
          <w:rFonts w:ascii="Calibri" w:hAnsi="Calibri" w:eastAsia="ArnhemPro-BlondItalic" w:cs="Arial"/>
          <w:i/>
          <w:iCs/>
          <w:lang w:val="cs-CZ"/>
        </w:rPr>
        <w:t xml:space="preserve">v Evropě </w:t>
      </w:r>
      <w:r w:rsidRPr="00A315A0" w:rsidR="00F11866">
        <w:rPr>
          <w:rFonts w:ascii="Calibri" w:hAnsi="Calibri" w:eastAsia="ArnhemPro-BlondItalic" w:cs="Arial"/>
          <w:i/>
          <w:iCs/>
          <w:lang w:val="cs-CZ"/>
        </w:rPr>
        <w:t xml:space="preserve">vloni </w:t>
      </w:r>
      <w:r w:rsidR="00DE4A5C">
        <w:rPr>
          <w:rFonts w:ascii="Calibri" w:hAnsi="Calibri" w:eastAsia="ArnhemPro-BlondItalic" w:cs="Arial"/>
          <w:i/>
          <w:iCs/>
          <w:lang w:val="cs-CZ"/>
        </w:rPr>
        <w:t>po</w:t>
      </w:r>
      <w:r w:rsidR="0024770F">
        <w:rPr>
          <w:rFonts w:ascii="Calibri" w:hAnsi="Calibri" w:eastAsia="ArnhemPro-BlondItalic" w:cs="Arial"/>
          <w:i/>
          <w:iCs/>
          <w:lang w:val="cs-CZ"/>
        </w:rPr>
        <w:t xml:space="preserve">klesly o 17 %, </w:t>
      </w:r>
      <w:r w:rsidRPr="00A315A0" w:rsidR="00F11866">
        <w:rPr>
          <w:rFonts w:ascii="Calibri" w:hAnsi="Calibri" w:eastAsia="ArnhemPro-BlondItalic" w:cs="Arial"/>
          <w:i/>
          <w:iCs/>
          <w:lang w:val="cs-CZ"/>
        </w:rPr>
        <w:t>investice do náj</w:t>
      </w:r>
      <w:r w:rsidR="0024770F">
        <w:rPr>
          <w:rFonts w:ascii="Calibri" w:hAnsi="Calibri" w:eastAsia="ArnhemPro-BlondItalic" w:cs="Arial"/>
          <w:i/>
          <w:iCs/>
          <w:lang w:val="cs-CZ"/>
        </w:rPr>
        <w:t>emního bydlení naopak posílily: m</w:t>
      </w:r>
      <w:r w:rsidRPr="00A315A0" w:rsidR="00F11866">
        <w:rPr>
          <w:rFonts w:ascii="Calibri" w:hAnsi="Calibri" w:eastAsia="ArnhemPro-BlondItalic" w:cs="Arial"/>
          <w:i/>
          <w:iCs/>
          <w:lang w:val="cs-CZ"/>
        </w:rPr>
        <w:t>eziročně o 27 %</w:t>
      </w:r>
      <w:r w:rsidRPr="00A315A0">
        <w:rPr>
          <w:rFonts w:ascii="Calibri" w:hAnsi="Calibri" w:eastAsia="ArnhemPro-BlondItalic" w:cs="Arial"/>
          <w:i/>
          <w:iCs/>
          <w:lang w:val="cs-CZ"/>
        </w:rPr>
        <w:t xml:space="preserve"> </w:t>
      </w:r>
      <w:r w:rsidR="00484B4F">
        <w:rPr>
          <w:rFonts w:ascii="Calibri" w:hAnsi="Calibri" w:eastAsia="ArnhemPro-BlondItalic" w:cs="Arial"/>
          <w:i/>
          <w:iCs/>
          <w:lang w:val="cs-CZ"/>
        </w:rPr>
        <w:t>až</w:t>
      </w:r>
      <w:r w:rsidR="00C011DF">
        <w:rPr>
          <w:rFonts w:ascii="Calibri" w:hAnsi="Calibri" w:eastAsia="ArnhemPro-BlondItalic" w:cs="Arial"/>
          <w:i/>
          <w:iCs/>
          <w:lang w:val="cs-CZ"/>
        </w:rPr>
        <w:t> </w:t>
      </w:r>
      <w:r w:rsidR="00484B4F">
        <w:rPr>
          <w:rFonts w:ascii="Calibri" w:hAnsi="Calibri" w:eastAsia="ArnhemPro-BlondItalic" w:cs="Arial"/>
          <w:i/>
          <w:iCs/>
          <w:lang w:val="cs-CZ"/>
        </w:rPr>
        <w:t>na</w:t>
      </w:r>
      <w:r w:rsidR="00C011DF">
        <w:rPr>
          <w:rFonts w:ascii="Calibri" w:hAnsi="Calibri" w:eastAsia="ArnhemPro-BlondItalic" w:cs="Arial"/>
          <w:i/>
          <w:iCs/>
          <w:lang w:val="cs-CZ"/>
        </w:rPr>
        <w:t> </w:t>
      </w:r>
      <w:r>
        <w:rPr>
          <w:rFonts w:ascii="Calibri" w:hAnsi="Calibri" w:eastAsia="ArnhemPro-BlondItalic" w:cs="Arial"/>
          <w:i/>
          <w:iCs/>
          <w:lang w:val="cs-CZ"/>
        </w:rPr>
        <w:t>47</w:t>
      </w:r>
      <w:r w:rsidR="00C011DF">
        <w:rPr>
          <w:rFonts w:ascii="Calibri" w:hAnsi="Calibri" w:eastAsia="ArnhemPro-BlondItalic" w:cs="Arial"/>
          <w:i/>
          <w:iCs/>
          <w:lang w:val="cs-CZ"/>
        </w:rPr>
        <w:t> </w:t>
      </w:r>
      <w:r>
        <w:rPr>
          <w:rFonts w:ascii="Calibri" w:hAnsi="Calibri" w:eastAsia="ArnhemPro-BlondItalic" w:cs="Arial"/>
          <w:i/>
          <w:iCs/>
          <w:lang w:val="cs-CZ"/>
        </w:rPr>
        <w:t xml:space="preserve">miliard eur,“ </w:t>
      </w:r>
      <w:r w:rsidRPr="00A315A0">
        <w:rPr>
          <w:rFonts w:ascii="Calibri" w:hAnsi="Calibri" w:eastAsia="ArnhemPro-BlondItalic" w:cs="Arial"/>
          <w:iCs/>
          <w:lang w:val="cs-CZ"/>
        </w:rPr>
        <w:t xml:space="preserve">komentuje </w:t>
      </w:r>
      <w:r w:rsidRPr="00A315A0">
        <w:rPr>
          <w:rFonts w:ascii="Calibri" w:hAnsi="Calibri" w:eastAsia="ArnhemPro-BlondItalic" w:cs="Arial"/>
          <w:b/>
          <w:iCs/>
          <w:lang w:val="cs-CZ"/>
        </w:rPr>
        <w:t>Jakub Štěpán, vedoucí oddělení oceňování nemovitostí v</w:t>
      </w:r>
      <w:r>
        <w:rPr>
          <w:rFonts w:ascii="Calibri" w:hAnsi="Calibri" w:eastAsia="ArnhemPro-BlondItalic" w:cs="Arial"/>
          <w:b/>
          <w:iCs/>
          <w:lang w:val="cs-CZ"/>
        </w:rPr>
        <w:t> </w:t>
      </w:r>
      <w:r w:rsidRPr="00A315A0">
        <w:rPr>
          <w:rFonts w:ascii="Calibri" w:hAnsi="Calibri" w:eastAsia="ArnhemPro-BlondItalic" w:cs="Arial"/>
          <w:b/>
          <w:iCs/>
          <w:lang w:val="cs-CZ"/>
        </w:rPr>
        <w:t>CBRE</w:t>
      </w:r>
      <w:r>
        <w:rPr>
          <w:rFonts w:ascii="Calibri" w:hAnsi="Calibri" w:eastAsia="ArnhemPro-BlondItalic" w:cs="Arial"/>
          <w:iCs/>
          <w:lang w:val="cs-CZ"/>
        </w:rPr>
        <w:t>, a dodává: „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>V</w:t>
      </w:r>
      <w:r w:rsidRPr="00EB5D15">
        <w:rPr>
          <w:rFonts w:ascii="Calibri" w:hAnsi="Calibri" w:eastAsia="ArnhemPro-BlondItalic" w:cs="Arial"/>
          <w:i/>
          <w:iCs/>
          <w:lang w:val="cs-CZ"/>
        </w:rPr>
        <w:t> našem lednovém průzkumu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mezi investory v regionu EMEA </w:t>
      </w:r>
      <w:r w:rsidR="0011736A">
        <w:rPr>
          <w:rFonts w:ascii="Calibri" w:hAnsi="Calibri" w:eastAsia="ArnhemPro-BlondItalic" w:cs="Arial"/>
          <w:i/>
          <w:iCs/>
          <w:lang w:val="cs-CZ"/>
        </w:rPr>
        <w:t>celkem</w:t>
      </w:r>
      <w:r w:rsidRPr="00EB5D15" w:rsidR="00484B4F">
        <w:rPr>
          <w:rFonts w:ascii="Calibri" w:hAnsi="Calibri" w:eastAsia="ArnhemPro-BlondItalic" w:cs="Arial"/>
          <w:i/>
          <w:iCs/>
          <w:lang w:val="cs-CZ"/>
        </w:rPr>
        <w:t xml:space="preserve"> 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čtvrtina respondentů </w:t>
      </w:r>
      <w:r w:rsidRPr="00EB5D15" w:rsidR="0099208B">
        <w:rPr>
          <w:rFonts w:ascii="Calibri" w:hAnsi="Calibri" w:eastAsia="ArnhemPro-BlondItalic" w:cs="Arial"/>
          <w:i/>
          <w:iCs/>
          <w:lang w:val="cs-CZ"/>
        </w:rPr>
        <w:t>uvedla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svůj aktuální zájem právě o produkty nájemního bydlení, a to hned po</w:t>
      </w:r>
      <w:r w:rsidRPr="00EB5D15" w:rsidR="00C011DF">
        <w:rPr>
          <w:rFonts w:ascii="Calibri" w:hAnsi="Calibri" w:eastAsia="ArnhemPro-BlondItalic" w:cs="Arial"/>
          <w:i/>
          <w:iCs/>
          <w:lang w:val="cs-CZ"/>
        </w:rPr>
        <w:t> 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kancelářských </w:t>
      </w:r>
      <w:r w:rsidR="00737BAE">
        <w:rPr>
          <w:rFonts w:ascii="Calibri" w:hAnsi="Calibri" w:eastAsia="ArnhemPro-BlondItalic" w:cs="Arial"/>
          <w:i/>
          <w:iCs/>
          <w:lang w:val="cs-CZ"/>
        </w:rPr>
        <w:t>budovách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. </w:t>
      </w:r>
      <w:r w:rsidRPr="00EB5D15">
        <w:rPr>
          <w:rFonts w:ascii="Calibri" w:hAnsi="Calibri" w:eastAsia="ArnhemPro-BlondItalic" w:cs="Arial"/>
          <w:i/>
          <w:iCs/>
          <w:lang w:val="cs-CZ"/>
        </w:rPr>
        <w:t>Očekáváme proto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, že do roku 2025 budou investice do </w:t>
      </w:r>
      <w:r w:rsidRPr="00EB5D15" w:rsidR="00D67274">
        <w:rPr>
          <w:rFonts w:ascii="Calibri" w:hAnsi="Calibri" w:eastAsia="ArnhemPro-BlondItalic" w:cs="Arial"/>
          <w:i/>
          <w:iCs/>
          <w:lang w:val="cs-CZ"/>
        </w:rPr>
        <w:t xml:space="preserve">sektoru 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rezidenčních nemovitostí, </w:t>
      </w:r>
      <w:r w:rsidRPr="00EB5D15" w:rsidR="00D67274">
        <w:rPr>
          <w:rFonts w:ascii="Calibri" w:hAnsi="Calibri" w:eastAsia="ArnhemPro-BlondItalic" w:cs="Arial"/>
          <w:i/>
          <w:iCs/>
          <w:lang w:val="cs-CZ"/>
        </w:rPr>
        <w:t>na kterých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se nájemní by</w:t>
      </w:r>
      <w:r w:rsidRPr="00EB5D15" w:rsidR="00D67274">
        <w:rPr>
          <w:rFonts w:ascii="Calibri" w:hAnsi="Calibri" w:eastAsia="ArnhemPro-BlondItalic" w:cs="Arial"/>
          <w:i/>
          <w:iCs/>
          <w:lang w:val="cs-CZ"/>
        </w:rPr>
        <w:t>dlení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podíl</w:t>
      </w:r>
      <w:r w:rsidRPr="00EB5D15" w:rsidR="00D67274">
        <w:rPr>
          <w:rFonts w:ascii="Calibri" w:hAnsi="Calibri" w:eastAsia="ArnhemPro-BlondItalic" w:cs="Arial"/>
          <w:i/>
          <w:iCs/>
          <w:lang w:val="cs-CZ"/>
        </w:rPr>
        <w:t>í</w:t>
      </w:r>
      <w:r w:rsidR="0011736A">
        <w:rPr>
          <w:rFonts w:ascii="Calibri" w:hAnsi="Calibri" w:eastAsia="ArnhemPro-BlondItalic" w:cs="Arial"/>
          <w:i/>
          <w:iCs/>
          <w:lang w:val="cs-CZ"/>
        </w:rPr>
        <w:t xml:space="preserve"> zhruba ze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75 %</w:t>
      </w:r>
      <w:r w:rsidRPr="00EB5D15" w:rsidR="00D67274">
        <w:rPr>
          <w:rFonts w:ascii="Calibri" w:hAnsi="Calibri" w:eastAsia="ArnhemPro-BlondItalic" w:cs="Arial"/>
          <w:i/>
          <w:iCs/>
          <w:lang w:val="cs-CZ"/>
        </w:rPr>
        <w:t xml:space="preserve"> </w:t>
      </w:r>
      <w:r w:rsidRPr="00E86BD7" w:rsidR="00D67274">
        <w:rPr>
          <w:rFonts w:ascii="Calibri" w:hAnsi="Calibri" w:eastAsia="ArnhemPro-BlondItalic" w:cs="Arial"/>
          <w:i/>
          <w:iCs/>
          <w:lang w:val="cs-CZ"/>
        </w:rPr>
        <w:t xml:space="preserve">(zbytek </w:t>
      </w:r>
      <w:r w:rsidRPr="00E86BD7" w:rsidR="00E86BD7">
        <w:rPr>
          <w:rFonts w:ascii="Calibri" w:hAnsi="Calibri" w:eastAsia="ArnhemPro-BlondItalic" w:cs="Arial"/>
          <w:i/>
          <w:iCs/>
          <w:lang w:val="cs-CZ"/>
        </w:rPr>
        <w:t xml:space="preserve">mj. </w:t>
      </w:r>
      <w:r w:rsidR="0024712D">
        <w:rPr>
          <w:rFonts w:ascii="Calibri" w:hAnsi="Calibri" w:eastAsia="ArnhemPro-BlondItalic" w:cs="Arial"/>
          <w:i/>
          <w:iCs/>
          <w:lang w:val="cs-CZ"/>
        </w:rPr>
        <w:t>připadá na</w:t>
      </w:r>
      <w:r w:rsidR="00091E14">
        <w:rPr>
          <w:rFonts w:ascii="Calibri" w:hAnsi="Calibri" w:eastAsia="ArnhemPro-BlondItalic" w:cs="Arial"/>
          <w:i/>
          <w:iCs/>
          <w:lang w:val="cs-CZ"/>
        </w:rPr>
        <w:t xml:space="preserve"> </w:t>
      </w:r>
      <w:r w:rsidRPr="00E86BD7" w:rsidR="00D67274">
        <w:rPr>
          <w:rFonts w:ascii="Calibri" w:hAnsi="Calibri" w:eastAsia="ArnhemPro-BlondItalic" w:cs="Arial"/>
          <w:i/>
          <w:iCs/>
          <w:lang w:val="cs-CZ"/>
        </w:rPr>
        <w:t>ubytování pro studenty v soukromých kampusech</w:t>
      </w:r>
      <w:r w:rsidR="00E86BD7">
        <w:rPr>
          <w:rFonts w:ascii="Calibri" w:hAnsi="Calibri" w:eastAsia="ArnhemPro-BlondItalic" w:cs="Arial"/>
          <w:i/>
          <w:iCs/>
          <w:lang w:val="cs-CZ"/>
        </w:rPr>
        <w:t xml:space="preserve"> atd</w:t>
      </w:r>
      <w:r w:rsidR="003462C8">
        <w:rPr>
          <w:rFonts w:ascii="Calibri" w:hAnsi="Calibri" w:eastAsia="ArnhemPro-BlondItalic" w:cs="Arial"/>
          <w:i/>
          <w:iCs/>
          <w:lang w:val="cs-CZ"/>
        </w:rPr>
        <w:t>.</w:t>
      </w:r>
      <w:r w:rsidRPr="00E86BD7" w:rsidR="00D67274">
        <w:rPr>
          <w:rFonts w:ascii="Calibri" w:hAnsi="Calibri" w:eastAsia="ArnhemPro-BlondItalic" w:cs="Arial"/>
          <w:i/>
          <w:iCs/>
          <w:lang w:val="cs-CZ"/>
        </w:rPr>
        <w:t>)</w:t>
      </w:r>
      <w:r w:rsidRPr="00E86BD7" w:rsidR="00122DD2">
        <w:rPr>
          <w:rFonts w:ascii="Calibri" w:hAnsi="Calibri" w:eastAsia="ArnhemPro-BlondItalic" w:cs="Arial"/>
          <w:i/>
          <w:iCs/>
          <w:lang w:val="cs-CZ"/>
        </w:rPr>
        <w:t>,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tvořit téměř 80 miliard eur, což </w:t>
      </w:r>
      <w:r w:rsidRPr="00EB5D15" w:rsidR="0012289C">
        <w:rPr>
          <w:rFonts w:ascii="Calibri" w:hAnsi="Calibri" w:eastAsia="ArnhemPro-BlondItalic" w:cs="Arial"/>
          <w:i/>
          <w:iCs/>
          <w:lang w:val="cs-CZ"/>
        </w:rPr>
        <w:t>znamená</w:t>
      </w:r>
      <w:r w:rsidRPr="00EB5D15" w:rsidR="00122DD2">
        <w:rPr>
          <w:rFonts w:ascii="Calibri" w:hAnsi="Calibri" w:eastAsia="ArnhemPro-BlondItalic" w:cs="Arial"/>
          <w:i/>
          <w:iCs/>
          <w:lang w:val="cs-CZ"/>
        </w:rPr>
        <w:t xml:space="preserve"> 20% </w:t>
      </w:r>
      <w:r w:rsidRPr="00EB5D15" w:rsidR="0012289C">
        <w:rPr>
          <w:rFonts w:ascii="Calibri" w:hAnsi="Calibri" w:eastAsia="ArnhemPro-BlondItalic" w:cs="Arial"/>
          <w:i/>
          <w:iCs/>
          <w:lang w:val="cs-CZ"/>
        </w:rPr>
        <w:t xml:space="preserve">nárůst během pěti </w:t>
      </w:r>
      <w:r w:rsidRPr="00EB5D15">
        <w:rPr>
          <w:rFonts w:ascii="Calibri" w:hAnsi="Calibri" w:eastAsia="ArnhemPro-BlondItalic" w:cs="Arial"/>
          <w:i/>
          <w:iCs/>
          <w:lang w:val="cs-CZ"/>
        </w:rPr>
        <w:t xml:space="preserve">let.“ </w:t>
      </w:r>
    </w:p>
    <w:p xmlns:wp14="http://schemas.microsoft.com/office/word/2010/wordml" w:rsidRPr="00EB5D15" w:rsidR="00A315A0" w:rsidP="00122DD2" w:rsidRDefault="00A315A0" w14:paraId="5DAB6C7B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/>
          <w:iCs/>
          <w:lang w:val="cs-CZ"/>
        </w:rPr>
      </w:pPr>
    </w:p>
    <w:p xmlns:wp14="http://schemas.microsoft.com/office/word/2010/wordml" w:rsidRPr="00EB5D15" w:rsidR="0012289C" w:rsidP="00122DD2" w:rsidRDefault="00E17C36" w14:paraId="6D5DD14D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b/>
          <w:iCs/>
          <w:lang w:val="cs-CZ"/>
        </w:rPr>
      </w:pPr>
      <w:r w:rsidRPr="00EB5D15">
        <w:rPr>
          <w:rFonts w:ascii="Calibri" w:hAnsi="Calibri" w:eastAsia="ArnhemPro-BlondItalic" w:cs="Arial"/>
          <w:b/>
          <w:iCs/>
          <w:lang w:val="cs-CZ"/>
        </w:rPr>
        <w:t>Z</w:t>
      </w:r>
      <w:r w:rsidRPr="00EB5D15" w:rsidR="00122DD2">
        <w:rPr>
          <w:rFonts w:ascii="Calibri" w:hAnsi="Calibri" w:eastAsia="ArnhemPro-BlondItalic" w:cs="Arial"/>
          <w:b/>
          <w:iCs/>
          <w:lang w:val="cs-CZ"/>
        </w:rPr>
        <w:t xml:space="preserve">ájem investorů o evropské nemovitosti určené k nájmu </w:t>
      </w:r>
      <w:r w:rsidRPr="00EB5D15">
        <w:rPr>
          <w:rFonts w:ascii="Calibri" w:hAnsi="Calibri" w:eastAsia="ArnhemPro-BlondItalic" w:cs="Arial"/>
          <w:b/>
          <w:iCs/>
          <w:lang w:val="cs-CZ"/>
        </w:rPr>
        <w:t>stoupá. I</w:t>
      </w:r>
      <w:r w:rsidRPr="00EB5D15" w:rsidR="00122DD2">
        <w:rPr>
          <w:rFonts w:ascii="Calibri" w:hAnsi="Calibri" w:eastAsia="ArnhemPro-BlondItalic" w:cs="Arial"/>
          <w:b/>
          <w:iCs/>
          <w:lang w:val="cs-CZ"/>
        </w:rPr>
        <w:t xml:space="preserve"> ze zemí mimo náš kontinent</w:t>
      </w:r>
    </w:p>
    <w:p xmlns:wp14="http://schemas.microsoft.com/office/word/2010/wordml" w:rsidRPr="00EB5D15" w:rsidR="00122DD2" w:rsidP="00122DD2" w:rsidRDefault="00E17C36" w14:paraId="5A4EE8A4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Cs/>
          <w:lang w:val="cs-CZ"/>
        </w:rPr>
      </w:pPr>
      <w:r w:rsidRPr="00EB5D15">
        <w:rPr>
          <w:rFonts w:ascii="Calibri" w:hAnsi="Calibri" w:eastAsia="ArnhemPro-BlondItalic" w:cs="Arial"/>
          <w:iCs/>
          <w:lang w:val="cs-CZ"/>
        </w:rPr>
        <w:t xml:space="preserve">V poslední době </w:t>
      </w:r>
      <w:r w:rsidRPr="00EB5D15" w:rsidR="0012289C">
        <w:rPr>
          <w:rFonts w:ascii="Calibri" w:hAnsi="Calibri" w:eastAsia="ArnhemPro-BlondItalic" w:cs="Arial"/>
          <w:iCs/>
          <w:lang w:val="cs-CZ"/>
        </w:rPr>
        <w:t xml:space="preserve">významně 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posílily investice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do evropských produktů nájemního bydlení </w:t>
      </w:r>
      <w:r w:rsidRPr="00EB5D15" w:rsidR="00122DD2">
        <w:rPr>
          <w:rFonts w:ascii="Calibri" w:hAnsi="Calibri" w:eastAsia="ArnhemPro-BlondItalic" w:cs="Arial"/>
          <w:iCs/>
          <w:lang w:val="cs-CZ"/>
        </w:rPr>
        <w:t>od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Pr="00EB5D15" w:rsidR="00122DD2">
        <w:rPr>
          <w:rFonts w:ascii="Calibri" w:hAnsi="Calibri" w:eastAsia="ArnhemPro-BlondItalic" w:cs="Arial"/>
          <w:iCs/>
          <w:lang w:val="cs-CZ"/>
        </w:rPr>
        <w:t>severoamerických společností</w:t>
      </w:r>
      <w:r w:rsidRPr="00EB5D15">
        <w:rPr>
          <w:rFonts w:ascii="Calibri" w:hAnsi="Calibri" w:eastAsia="ArnhemPro-BlondItalic" w:cs="Arial"/>
          <w:iCs/>
          <w:lang w:val="cs-CZ"/>
        </w:rPr>
        <w:t>: ze 7 % v roce 2017 na loňských 17 %. Nájemní t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rh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v USA 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je již velmi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vyspělý </w:t>
      </w:r>
      <w:r w:rsidRPr="00EB5D15" w:rsidR="0012289C">
        <w:rPr>
          <w:rFonts w:ascii="Calibri" w:hAnsi="Calibri" w:eastAsia="ArnhemPro-BlondItalic" w:cs="Arial"/>
          <w:iCs/>
          <w:lang w:val="cs-CZ"/>
        </w:rPr>
        <w:t>a p</w:t>
      </w:r>
      <w:r w:rsidRPr="00EB5D15" w:rsidR="00122DD2">
        <w:rPr>
          <w:rFonts w:ascii="Calibri" w:hAnsi="Calibri" w:eastAsia="ArnhemPro-BlondItalic" w:cs="Arial"/>
          <w:iCs/>
          <w:lang w:val="cs-CZ"/>
        </w:rPr>
        <w:t>rodukty nájemního bydlení zde posledních šest let představují nejvyhledávanější investiční aktiv</w:t>
      </w:r>
      <w:r w:rsidR="00D11C62">
        <w:rPr>
          <w:rFonts w:ascii="Calibri" w:hAnsi="Calibri" w:eastAsia="ArnhemPro-BlondItalic" w:cs="Arial"/>
          <w:iCs/>
          <w:lang w:val="cs-CZ"/>
        </w:rPr>
        <w:t>um</w:t>
      </w:r>
      <w:r w:rsidRPr="00EB5D15" w:rsidR="0012289C">
        <w:rPr>
          <w:rFonts w:ascii="Calibri" w:hAnsi="Calibri" w:eastAsia="ArnhemPro-BlondItalic" w:cs="Arial"/>
          <w:iCs/>
          <w:lang w:val="cs-CZ"/>
        </w:rPr>
        <w:t xml:space="preserve">. </w:t>
      </w:r>
      <w:r w:rsidRPr="00EB5D15" w:rsidR="007551ED">
        <w:rPr>
          <w:rFonts w:ascii="Calibri" w:hAnsi="Calibri" w:eastAsia="ArnhemPro-BlondItalic" w:cs="Arial"/>
          <w:iCs/>
          <w:lang w:val="cs-CZ"/>
        </w:rPr>
        <w:t>Dalším zajímavým faktorem na evropském nájemním trhu je velikost transakcí. V</w:t>
      </w:r>
      <w:r w:rsidRPr="00EB5D15" w:rsidR="0012289C">
        <w:rPr>
          <w:rFonts w:ascii="Calibri" w:hAnsi="Calibri" w:eastAsia="ArnhemPro-BlondItalic" w:cs="Arial"/>
          <w:iCs/>
          <w:lang w:val="cs-CZ"/>
        </w:rPr>
        <w:t xml:space="preserve"> roce 2020 </w:t>
      </w:r>
      <w:r w:rsidRPr="00EB5D15" w:rsidR="007551ED">
        <w:rPr>
          <w:rFonts w:ascii="Calibri" w:hAnsi="Calibri" w:eastAsia="ArnhemPro-BlondItalic" w:cs="Arial"/>
          <w:iCs/>
          <w:lang w:val="cs-CZ"/>
        </w:rPr>
        <w:t>významně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 vzrostl počet </w:t>
      </w:r>
      <w:r w:rsidRPr="00EB5D15" w:rsidR="00625E23">
        <w:rPr>
          <w:rFonts w:ascii="Calibri" w:hAnsi="Calibri" w:eastAsia="ArnhemPro-BlondItalic" w:cs="Arial"/>
          <w:iCs/>
          <w:lang w:val="cs-CZ"/>
        </w:rPr>
        <w:t>obchodů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 překračujících hranici 50 milionů euro. Zatímco ještě v roce 2017 tyto </w:t>
      </w:r>
      <w:r w:rsidRPr="00EB5D15" w:rsidR="00625E23">
        <w:rPr>
          <w:rFonts w:ascii="Calibri" w:hAnsi="Calibri" w:eastAsia="ArnhemPro-BlondItalic" w:cs="Arial"/>
          <w:iCs/>
          <w:lang w:val="cs-CZ"/>
        </w:rPr>
        <w:t>transakce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 tvořily 20 % celkového objemu, tak v roce 2020 </w:t>
      </w:r>
      <w:r w:rsidRPr="00EB5D15" w:rsidR="00625E23">
        <w:rPr>
          <w:rFonts w:ascii="Calibri" w:hAnsi="Calibri" w:eastAsia="ArnhemPro-BlondItalic" w:cs="Arial"/>
          <w:iCs/>
          <w:lang w:val="cs-CZ"/>
        </w:rPr>
        <w:t>již</w:t>
      </w:r>
      <w:r w:rsidRPr="00EB5D15" w:rsidR="00122DD2">
        <w:rPr>
          <w:rFonts w:ascii="Calibri" w:hAnsi="Calibri" w:eastAsia="ArnhemPro-BlondItalic" w:cs="Arial"/>
          <w:iCs/>
          <w:lang w:val="cs-CZ"/>
        </w:rPr>
        <w:t xml:space="preserve"> 34 %.</w:t>
      </w:r>
    </w:p>
    <w:p xmlns:wp14="http://schemas.microsoft.com/office/word/2010/wordml" w:rsidR="007551ED" w:rsidP="00122DD2" w:rsidRDefault="007551ED" w14:paraId="02EB378F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b/>
          <w:iCs/>
          <w:lang w:val="cs-CZ"/>
        </w:rPr>
      </w:pPr>
    </w:p>
    <w:p xmlns:wp14="http://schemas.microsoft.com/office/word/2010/wordml" w:rsidR="00143AD2" w:rsidP="00122DD2" w:rsidRDefault="00143AD2" w14:paraId="25257377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b/>
          <w:iCs/>
          <w:lang w:val="cs-CZ"/>
        </w:rPr>
      </w:pPr>
      <w:r w:rsidRPr="00143AD2">
        <w:rPr>
          <w:rFonts w:ascii="Calibri" w:hAnsi="Calibri" w:eastAsia="ArnhemPro-BlondItalic" w:cs="Arial"/>
          <w:b/>
          <w:iCs/>
          <w:lang w:val="cs-CZ"/>
        </w:rPr>
        <w:t xml:space="preserve">Žádné dva evropské trhy nejsou </w:t>
      </w:r>
      <w:r w:rsidR="00DE4A5C">
        <w:rPr>
          <w:rFonts w:ascii="Calibri" w:hAnsi="Calibri" w:eastAsia="ArnhemPro-BlondItalic" w:cs="Arial"/>
          <w:b/>
          <w:iCs/>
          <w:lang w:val="cs-CZ"/>
        </w:rPr>
        <w:t>totožné</w:t>
      </w:r>
      <w:r w:rsidRPr="00143AD2">
        <w:rPr>
          <w:rFonts w:ascii="Calibri" w:hAnsi="Calibri" w:eastAsia="ArnhemPro-BlondItalic" w:cs="Arial"/>
          <w:b/>
          <w:iCs/>
          <w:lang w:val="cs-CZ"/>
        </w:rPr>
        <w:t>, každá země je v jiné fázi vývoje</w:t>
      </w:r>
    </w:p>
    <w:p xmlns:wp14="http://schemas.microsoft.com/office/word/2010/wordml" w:rsidRPr="00EB5D15" w:rsidR="00122DD2" w:rsidP="00122DD2" w:rsidRDefault="00122DD2" w14:paraId="5DC0AC20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Cs/>
          <w:lang w:val="cs-CZ"/>
        </w:rPr>
      </w:pPr>
      <w:r w:rsidRPr="00EB5D15">
        <w:rPr>
          <w:rFonts w:ascii="Calibri" w:hAnsi="Calibri" w:eastAsia="ArnhemPro-BlondItalic" w:cs="Arial"/>
          <w:iCs/>
          <w:lang w:val="cs-CZ"/>
        </w:rPr>
        <w:t>Jedním z nejzralejších evropských trhů, kde je také zdaleka nejvyšší úroveň investic do produktů nájemního bydlení, je sousední Německo. Ovšem vzhledem k faktu, že zdejší trh s komerčními nemovitostmi je zároveň největší v Evropě, podíl investic do nájemních aktiv zde v roce 2020 činil „pouhých“ 20 % z celkového objemu</w:t>
      </w:r>
      <w:r w:rsidRPr="00EB5D15" w:rsidR="002831CE">
        <w:rPr>
          <w:rFonts w:ascii="Calibri" w:hAnsi="Calibri" w:eastAsia="ArnhemPro-BlondItalic" w:cs="Arial"/>
          <w:iCs/>
          <w:lang w:val="cs-CZ"/>
        </w:rPr>
        <w:t>. To bylo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méně než třeba v Dánsku, České republice, Irsku </w:t>
      </w:r>
      <w:r w:rsidRPr="00EB5D15" w:rsidR="002831CE">
        <w:rPr>
          <w:rFonts w:ascii="Calibri" w:hAnsi="Calibri" w:eastAsia="ArnhemPro-BlondItalic" w:cs="Arial"/>
          <w:iCs/>
          <w:lang w:val="cs-CZ"/>
        </w:rPr>
        <w:t>nebo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Nizozemsku. Nicméně právě na m</w:t>
      </w:r>
      <w:r w:rsidRPr="00EB5D15" w:rsidR="00625E23">
        <w:rPr>
          <w:rFonts w:ascii="Calibri" w:hAnsi="Calibri" w:eastAsia="ArnhemPro-BlondItalic" w:cs="Arial"/>
          <w:iCs/>
          <w:lang w:val="cs-CZ"/>
        </w:rPr>
        <w:t>enších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trzích může jedna velká transakce </w:t>
      </w:r>
      <w:r w:rsidR="00D11C62">
        <w:rPr>
          <w:rFonts w:ascii="Calibri" w:hAnsi="Calibri" w:eastAsia="ArnhemPro-BlondItalic" w:cs="Arial"/>
          <w:iCs/>
          <w:lang w:val="cs-CZ"/>
        </w:rPr>
        <w:t>zásadně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ovlivnit celkový </w:t>
      </w:r>
      <w:r w:rsidRPr="00EB5D15" w:rsidR="002831CE">
        <w:rPr>
          <w:rFonts w:ascii="Calibri" w:hAnsi="Calibri" w:eastAsia="ArnhemPro-BlondItalic" w:cs="Arial"/>
          <w:iCs/>
          <w:lang w:val="cs-CZ"/>
        </w:rPr>
        <w:t>poměr jednotlivých sektorů</w:t>
      </w:r>
      <w:r w:rsidRPr="00EB5D15">
        <w:rPr>
          <w:rFonts w:ascii="Calibri" w:hAnsi="Calibri" w:eastAsia="ArnhemPro-BlondItalic" w:cs="Arial"/>
          <w:iCs/>
          <w:lang w:val="cs-CZ"/>
        </w:rPr>
        <w:t xml:space="preserve">. </w:t>
      </w:r>
      <w:r w:rsidRPr="00EB5D15" w:rsidR="002831CE">
        <w:rPr>
          <w:rFonts w:ascii="Calibri" w:hAnsi="Calibri" w:eastAsia="ArnhemPro-BlondItalic" w:cs="Arial"/>
          <w:iCs/>
          <w:lang w:val="cs-CZ"/>
        </w:rPr>
        <w:t xml:space="preserve">To je </w:t>
      </w:r>
      <w:r w:rsidR="006E7716">
        <w:rPr>
          <w:rFonts w:ascii="Calibri" w:hAnsi="Calibri" w:eastAsia="ArnhemPro-BlondItalic" w:cs="Arial"/>
          <w:iCs/>
          <w:lang w:val="cs-CZ"/>
        </w:rPr>
        <w:t xml:space="preserve">i případ </w:t>
      </w:r>
      <w:r w:rsidRPr="00EB5D15" w:rsidR="002831CE">
        <w:rPr>
          <w:rFonts w:ascii="Calibri" w:hAnsi="Calibri" w:eastAsia="ArnhemPro-BlondItalic" w:cs="Arial"/>
          <w:iCs/>
          <w:lang w:val="cs-CZ"/>
        </w:rPr>
        <w:t xml:space="preserve">ČR a </w:t>
      </w:r>
      <w:r w:rsidRPr="00EB5D15">
        <w:rPr>
          <w:rFonts w:ascii="Calibri" w:hAnsi="Calibri" w:eastAsia="ArnhemPro-BlondItalic" w:cs="Arial"/>
          <w:iCs/>
          <w:lang w:val="cs-CZ"/>
        </w:rPr>
        <w:t>Dán</w:t>
      </w:r>
      <w:r w:rsidRPr="00EB5D15" w:rsidR="002831CE">
        <w:rPr>
          <w:rFonts w:ascii="Calibri" w:hAnsi="Calibri" w:eastAsia="ArnhemPro-BlondItalic" w:cs="Arial"/>
          <w:iCs/>
          <w:lang w:val="cs-CZ"/>
        </w:rPr>
        <w:t xml:space="preserve">ska, kde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investice do produktů nájemního bydlení </w:t>
      </w:r>
      <w:r w:rsidRPr="00EB5D15" w:rsidR="002831CE">
        <w:rPr>
          <w:rFonts w:ascii="Calibri" w:hAnsi="Calibri" w:eastAsia="ArnhemPro-BlondItalic" w:cs="Arial"/>
          <w:iCs/>
          <w:lang w:val="cs-CZ"/>
        </w:rPr>
        <w:t xml:space="preserve">vloni dosáhly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neobvykle vysokých 50 %. </w:t>
      </w:r>
      <w:r w:rsidRPr="00EB5D15" w:rsidR="002831CE">
        <w:rPr>
          <w:rFonts w:ascii="Calibri" w:hAnsi="Calibri" w:eastAsia="ArnhemPro-BlondItalic" w:cs="Arial"/>
          <w:iCs/>
          <w:lang w:val="cs-CZ"/>
        </w:rPr>
        <w:t xml:space="preserve">V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obou případech </w:t>
      </w:r>
      <w:r w:rsidRPr="00EB5D15" w:rsidR="002831CE">
        <w:rPr>
          <w:rFonts w:ascii="Calibri" w:hAnsi="Calibri" w:eastAsia="ArnhemPro-BlondItalic" w:cs="Arial"/>
          <w:iCs/>
          <w:lang w:val="cs-CZ"/>
        </w:rPr>
        <w:t xml:space="preserve">ale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podíl významně navýšila </w:t>
      </w:r>
      <w:r w:rsidR="004E1289">
        <w:rPr>
          <w:rFonts w:ascii="Calibri" w:hAnsi="Calibri" w:eastAsia="ArnhemPro-BlondItalic" w:cs="Arial"/>
          <w:iCs/>
          <w:lang w:val="cs-CZ"/>
        </w:rPr>
        <w:t>sólo</w:t>
      </w:r>
      <w:r w:rsidRPr="00EB5D15" w:rsidR="00107959">
        <w:rPr>
          <w:rFonts w:ascii="Calibri" w:hAnsi="Calibri" w:eastAsia="ArnhemPro-BlondItalic" w:cs="Arial"/>
          <w:iCs/>
          <w:lang w:val="cs-CZ"/>
        </w:rPr>
        <w:t xml:space="preserve"> </w:t>
      </w:r>
      <w:r w:rsidRPr="00EB5D15">
        <w:rPr>
          <w:rFonts w:ascii="Calibri" w:hAnsi="Calibri" w:eastAsia="ArnhemPro-BlondItalic" w:cs="Arial"/>
          <w:iCs/>
          <w:lang w:val="cs-CZ"/>
        </w:rPr>
        <w:t>transakce v hodnotě přesahující 1 miliardu eur. Při srovná</w:t>
      </w:r>
      <w:r w:rsidRPr="00EB5D15" w:rsidR="00107959">
        <w:rPr>
          <w:rFonts w:ascii="Calibri" w:hAnsi="Calibri" w:eastAsia="ArnhemPro-BlondItalic" w:cs="Arial"/>
          <w:iCs/>
          <w:lang w:val="cs-CZ"/>
        </w:rPr>
        <w:t>vá</w:t>
      </w:r>
      <w:r w:rsidRPr="00EB5D15">
        <w:rPr>
          <w:rFonts w:ascii="Calibri" w:hAnsi="Calibri" w:eastAsia="ArnhemPro-BlondItalic" w:cs="Arial"/>
          <w:iCs/>
          <w:lang w:val="cs-CZ"/>
        </w:rPr>
        <w:t xml:space="preserve">ní evropských zemí je proto </w:t>
      </w:r>
      <w:r w:rsidRPr="00EB5D15" w:rsidR="00DE4A5C">
        <w:rPr>
          <w:rFonts w:ascii="Calibri" w:hAnsi="Calibri" w:eastAsia="ArnhemPro-BlondItalic" w:cs="Arial"/>
          <w:iCs/>
          <w:lang w:val="cs-CZ"/>
        </w:rPr>
        <w:t xml:space="preserve">vždy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nezbytné zohlednit nejen velikost </w:t>
      </w:r>
      <w:r w:rsidRPr="00EB5D15" w:rsidR="00107959">
        <w:rPr>
          <w:rFonts w:ascii="Calibri" w:hAnsi="Calibri" w:eastAsia="ArnhemPro-BlondItalic" w:cs="Arial"/>
          <w:iCs/>
          <w:lang w:val="cs-CZ"/>
        </w:rPr>
        <w:t>jednotlivých trhů</w:t>
      </w:r>
      <w:r w:rsidRPr="00EB5D15">
        <w:rPr>
          <w:rFonts w:ascii="Calibri" w:hAnsi="Calibri" w:eastAsia="ArnhemPro-BlondItalic" w:cs="Arial"/>
          <w:iCs/>
          <w:lang w:val="cs-CZ"/>
        </w:rPr>
        <w:t xml:space="preserve">, </w:t>
      </w:r>
      <w:r w:rsidRPr="00EB5D15" w:rsidR="00107959">
        <w:rPr>
          <w:rFonts w:ascii="Calibri" w:hAnsi="Calibri" w:eastAsia="ArnhemPro-BlondItalic" w:cs="Arial"/>
          <w:iCs/>
          <w:lang w:val="cs-CZ"/>
        </w:rPr>
        <w:t xml:space="preserve">ale také </w:t>
      </w:r>
      <w:r w:rsidRPr="00107959" w:rsidR="00107959">
        <w:rPr>
          <w:rFonts w:ascii="Calibri" w:hAnsi="Calibri" w:eastAsia="ArnhemPro-BlondItalic" w:cs="Arial"/>
          <w:iCs/>
          <w:lang w:val="cs-CZ"/>
        </w:rPr>
        <w:t xml:space="preserve">strukturu </w:t>
      </w:r>
      <w:r w:rsidR="00107959">
        <w:rPr>
          <w:rFonts w:ascii="Calibri" w:hAnsi="Calibri" w:eastAsia="ArnhemPro-BlondItalic" w:cs="Arial"/>
          <w:iCs/>
          <w:lang w:val="cs-CZ"/>
        </w:rPr>
        <w:t>zdejších poskytovatelů nájemního bydlení, d</w:t>
      </w:r>
      <w:r w:rsidRPr="00107959" w:rsidR="00107959">
        <w:rPr>
          <w:rFonts w:ascii="Calibri" w:hAnsi="Calibri" w:eastAsia="ArnhemPro-BlondItalic" w:cs="Arial"/>
          <w:iCs/>
          <w:lang w:val="cs-CZ"/>
        </w:rPr>
        <w:t xml:space="preserve">ostupnost vhodných produktů </w:t>
      </w:r>
      <w:r w:rsidR="004E1289">
        <w:rPr>
          <w:rFonts w:ascii="Calibri" w:hAnsi="Calibri" w:eastAsia="ArnhemPro-BlondItalic" w:cs="Arial"/>
          <w:iCs/>
          <w:lang w:val="cs-CZ"/>
        </w:rPr>
        <w:t>i</w:t>
      </w:r>
      <w:r w:rsidR="00107959">
        <w:rPr>
          <w:rFonts w:ascii="Calibri" w:hAnsi="Calibri" w:eastAsia="ArnhemPro-BlondItalic" w:cs="Arial"/>
          <w:iCs/>
          <w:lang w:val="cs-CZ"/>
        </w:rPr>
        <w:t xml:space="preserve"> platné </w:t>
      </w:r>
      <w:r w:rsidRPr="00EB5D15" w:rsidR="00107959">
        <w:rPr>
          <w:rFonts w:ascii="Calibri" w:hAnsi="Calibri" w:eastAsia="ArnhemPro-BlondItalic" w:cs="Arial"/>
          <w:iCs/>
          <w:lang w:val="cs-CZ"/>
        </w:rPr>
        <w:t xml:space="preserve">regulace </w:t>
      </w:r>
      <w:r w:rsidRPr="00EB5D15" w:rsidR="007844BC">
        <w:rPr>
          <w:rFonts w:ascii="Calibri" w:hAnsi="Calibri" w:eastAsia="ArnhemPro-BlondItalic" w:cs="Arial"/>
          <w:iCs/>
          <w:lang w:val="cs-CZ"/>
        </w:rPr>
        <w:t xml:space="preserve">na </w:t>
      </w:r>
      <w:r w:rsidRPr="00EB5D15" w:rsidR="00107959">
        <w:rPr>
          <w:rFonts w:ascii="Calibri" w:hAnsi="Calibri" w:eastAsia="ArnhemPro-BlondItalic" w:cs="Arial"/>
          <w:iCs/>
          <w:lang w:val="cs-CZ"/>
        </w:rPr>
        <w:t xml:space="preserve">trhu. </w:t>
      </w:r>
      <w:r w:rsidRPr="00EB5D15">
        <w:rPr>
          <w:rFonts w:ascii="Calibri" w:hAnsi="Calibri" w:eastAsia="ArnhemPro-BlondItalic" w:cs="Arial"/>
          <w:iCs/>
          <w:lang w:val="cs-CZ"/>
        </w:rPr>
        <w:t>Za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Pr="00EB5D15">
        <w:rPr>
          <w:rFonts w:ascii="Calibri" w:hAnsi="Calibri" w:eastAsia="ArnhemPro-BlondItalic" w:cs="Arial"/>
          <w:iCs/>
          <w:lang w:val="cs-CZ"/>
        </w:rPr>
        <w:t xml:space="preserve">vyspělé </w:t>
      </w:r>
      <w:r w:rsidRPr="00EB5D15" w:rsidR="007844BC">
        <w:rPr>
          <w:rFonts w:ascii="Calibri" w:hAnsi="Calibri" w:eastAsia="ArnhemPro-BlondItalic" w:cs="Arial"/>
          <w:iCs/>
          <w:lang w:val="cs-CZ"/>
        </w:rPr>
        <w:t>státy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</w:t>
      </w:r>
      <w:r w:rsidRPr="00EB5D15" w:rsidR="00107959">
        <w:rPr>
          <w:rFonts w:ascii="Calibri" w:hAnsi="Calibri" w:eastAsia="ArnhemPro-BlondItalic" w:cs="Arial"/>
          <w:iCs/>
          <w:lang w:val="cs-CZ"/>
        </w:rPr>
        <w:t xml:space="preserve">je v tomto směru možné považovat </w:t>
      </w:r>
      <w:r w:rsidRPr="00EB5D15">
        <w:rPr>
          <w:rFonts w:ascii="Calibri" w:hAnsi="Calibri" w:eastAsia="ArnhemPro-BlondItalic" w:cs="Arial"/>
          <w:iCs/>
          <w:lang w:val="cs-CZ"/>
        </w:rPr>
        <w:t>Německo, Rakousko, Švýcarsko, Dánsko, Nizozemsko, Švédsko a Finsko. Česká republika se společně s Francií, Polskem, Norskem, Španělskem a Velkou Británii řadí mezi rozvíjející se trhy s velkým potenciálem do budoucna.</w:t>
      </w:r>
    </w:p>
    <w:p xmlns:wp14="http://schemas.microsoft.com/office/word/2010/wordml" w:rsidRPr="00EB5D15" w:rsidR="00122DD2" w:rsidP="00122DD2" w:rsidRDefault="00122DD2" w14:paraId="6A05A809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Cs/>
          <w:lang w:val="cs-CZ"/>
        </w:rPr>
      </w:pPr>
    </w:p>
    <w:p xmlns:wp14="http://schemas.microsoft.com/office/word/2010/wordml" w:rsidRPr="00EB5D15" w:rsidR="000D2766" w:rsidP="00122DD2" w:rsidRDefault="000D2766" w14:paraId="7EA29A1F" wp14:textId="77777777">
      <w:pPr>
        <w:jc w:val="both"/>
        <w:rPr>
          <w:rFonts w:ascii="Calibri" w:hAnsi="Calibri" w:eastAsia="ArnhemPro-BlondItalic" w:cs="Arial"/>
          <w:b/>
          <w:iCs/>
          <w:lang w:val="cs-CZ"/>
        </w:rPr>
      </w:pPr>
      <w:r w:rsidRPr="00EB5D15">
        <w:rPr>
          <w:rFonts w:ascii="Calibri" w:hAnsi="Calibri" w:eastAsia="ArnhemPro-BlondItalic" w:cs="Arial"/>
          <w:b/>
          <w:iCs/>
          <w:lang w:val="cs-CZ"/>
        </w:rPr>
        <w:t>Po</w:t>
      </w:r>
      <w:r w:rsidRPr="00EB5D15" w:rsidR="00DE4A5C">
        <w:rPr>
          <w:rFonts w:ascii="Calibri" w:hAnsi="Calibri" w:eastAsia="ArnhemPro-BlondItalic" w:cs="Arial"/>
          <w:b/>
          <w:iCs/>
          <w:lang w:val="cs-CZ"/>
        </w:rPr>
        <w:t>zvolné změny na českém rezidenčním trhu</w:t>
      </w:r>
    </w:p>
    <w:p xmlns:wp14="http://schemas.microsoft.com/office/word/2010/wordml" w:rsidRPr="00EB5D15" w:rsidR="00122DD2" w:rsidP="00122DD2" w:rsidRDefault="00122DD2" w14:paraId="618B9AD1" wp14:textId="77777777">
      <w:pPr>
        <w:jc w:val="both"/>
        <w:rPr>
          <w:rFonts w:ascii="Calibri" w:hAnsi="Calibri" w:eastAsia="ArnhemPro-BlondItalic" w:cs="Arial"/>
          <w:iCs/>
          <w:lang w:val="cs-CZ"/>
        </w:rPr>
      </w:pPr>
      <w:r w:rsidRPr="00EB5D15">
        <w:rPr>
          <w:rFonts w:ascii="Calibri" w:hAnsi="Calibri" w:eastAsia="ArnhemPro-BlondItalic" w:cs="Arial"/>
          <w:iCs/>
          <w:lang w:val="cs-CZ"/>
        </w:rPr>
        <w:t>V České republice dlouhodobě dominuje bydlení „ve vlastním“</w:t>
      </w:r>
      <w:r w:rsidRPr="00EB5D15" w:rsidR="00107959">
        <w:rPr>
          <w:rFonts w:ascii="Calibri" w:hAnsi="Calibri" w:eastAsia="ArnhemPro-BlondItalic" w:cs="Arial"/>
          <w:iCs/>
          <w:lang w:val="cs-CZ"/>
        </w:rPr>
        <w:t>, které tvoří celých 70 %</w:t>
      </w:r>
      <w:r w:rsidRPr="00EB5D15">
        <w:rPr>
          <w:rFonts w:ascii="Calibri" w:hAnsi="Calibri" w:eastAsia="ArnhemPro-BlondItalic" w:cs="Arial"/>
          <w:iCs/>
          <w:lang w:val="cs-CZ"/>
        </w:rPr>
        <w:t>. Přitom v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Pr="00EB5D15">
        <w:rPr>
          <w:rFonts w:ascii="Calibri" w:hAnsi="Calibri" w:eastAsia="ArnhemPro-BlondItalic" w:cs="Arial"/>
          <w:iCs/>
          <w:lang w:val="cs-CZ"/>
        </w:rPr>
        <w:t xml:space="preserve">sousedních západoevropských zemích jako </w:t>
      </w:r>
      <w:r w:rsidRPr="00EB5D15" w:rsidR="00107959">
        <w:rPr>
          <w:rFonts w:ascii="Calibri" w:hAnsi="Calibri" w:eastAsia="ArnhemPro-BlondItalic" w:cs="Arial"/>
          <w:iCs/>
          <w:lang w:val="cs-CZ"/>
        </w:rPr>
        <w:t xml:space="preserve">je </w:t>
      </w:r>
      <w:r w:rsidRPr="00EB5D15">
        <w:rPr>
          <w:rFonts w:ascii="Calibri" w:hAnsi="Calibri" w:eastAsia="ArnhemPro-BlondItalic" w:cs="Arial"/>
          <w:iCs/>
          <w:lang w:val="cs-CZ"/>
        </w:rPr>
        <w:t>Německo, Rakousko nebo Švýcarsko je to až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Pr="00EB5D15">
        <w:rPr>
          <w:rFonts w:ascii="Calibri" w:hAnsi="Calibri" w:eastAsia="ArnhemPro-BlondItalic" w:cs="Arial"/>
          <w:iCs/>
          <w:lang w:val="cs-CZ"/>
        </w:rPr>
        <w:t>o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Pr="00EB5D15">
        <w:rPr>
          <w:rFonts w:ascii="Calibri" w:hAnsi="Calibri" w:eastAsia="ArnhemPro-BlondItalic" w:cs="Arial"/>
          <w:iCs/>
          <w:lang w:val="cs-CZ"/>
        </w:rPr>
        <w:t>30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Pr="00EB5D15">
        <w:rPr>
          <w:rFonts w:ascii="Calibri" w:hAnsi="Calibri" w:eastAsia="ArnhemPro-BlondItalic" w:cs="Arial"/>
          <w:iCs/>
          <w:lang w:val="cs-CZ"/>
        </w:rPr>
        <w:t xml:space="preserve">% </w:t>
      </w:r>
      <w:r w:rsidRPr="00EB5D15" w:rsidR="00107959">
        <w:rPr>
          <w:rFonts w:ascii="Calibri" w:hAnsi="Calibri" w:eastAsia="ArnhemPro-BlondItalic" w:cs="Arial"/>
          <w:iCs/>
          <w:lang w:val="cs-CZ"/>
        </w:rPr>
        <w:t>méně. Nájemní bydlení u n</w:t>
      </w:r>
      <w:r w:rsidRPr="00EB5D15">
        <w:rPr>
          <w:rFonts w:ascii="Calibri" w:hAnsi="Calibri" w:eastAsia="ArnhemPro-BlondItalic" w:cs="Arial"/>
          <w:iCs/>
          <w:lang w:val="cs-CZ"/>
        </w:rPr>
        <w:t xml:space="preserve">ás </w:t>
      </w:r>
      <w:r w:rsidRPr="00EB5D15" w:rsidR="001637FF">
        <w:rPr>
          <w:rFonts w:ascii="Calibri" w:hAnsi="Calibri" w:eastAsia="ArnhemPro-BlondItalic" w:cs="Arial"/>
          <w:iCs/>
          <w:lang w:val="cs-CZ"/>
        </w:rPr>
        <w:t>drží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20 % a zbylých 10 % připadá </w:t>
      </w:r>
      <w:r w:rsidRPr="00EB5D15" w:rsidR="001637FF">
        <w:rPr>
          <w:rFonts w:ascii="Calibri" w:hAnsi="Calibri" w:eastAsia="ArnhemPro-BlondItalic" w:cs="Arial"/>
          <w:iCs/>
          <w:lang w:val="cs-CZ"/>
        </w:rPr>
        <w:t xml:space="preserve">na </w:t>
      </w:r>
      <w:r w:rsidRPr="00EB5D15" w:rsidR="00107959">
        <w:rPr>
          <w:rFonts w:ascii="Calibri" w:hAnsi="Calibri" w:eastAsia="ArnhemPro-BlondItalic" w:cs="Arial"/>
          <w:iCs/>
          <w:lang w:val="cs-CZ"/>
        </w:rPr>
        <w:t>družstevní byty</w:t>
      </w:r>
      <w:r w:rsidRPr="00EB5D15">
        <w:rPr>
          <w:rFonts w:ascii="Calibri" w:hAnsi="Calibri" w:eastAsia="ArnhemPro-BlondItalic" w:cs="Arial"/>
          <w:iCs/>
          <w:lang w:val="cs-CZ"/>
        </w:rPr>
        <w:t xml:space="preserve">. Nicméně jakkoli je vlastnické bydlení v tuzemsku velmi populární a podvědomě podtrhuje společenské postavení Čechů, na trhu je možné pozorovat postupné změny. </w:t>
      </w:r>
      <w:r w:rsidR="004A62D7">
        <w:rPr>
          <w:rFonts w:ascii="Calibri" w:hAnsi="Calibri" w:eastAsia="ArnhemPro-BlondItalic" w:cs="Arial"/>
          <w:iCs/>
          <w:lang w:val="cs-CZ"/>
        </w:rPr>
        <w:t>Roste počet nových developerských projektů</w:t>
      </w:r>
      <w:r w:rsidRPr="00EB5D15">
        <w:rPr>
          <w:rFonts w:ascii="Calibri" w:hAnsi="Calibri" w:eastAsia="ArnhemPro-BlondItalic" w:cs="Arial"/>
          <w:iCs/>
          <w:lang w:val="cs-CZ"/>
        </w:rPr>
        <w:t>, které se zaměřují na byty k</w:t>
      </w:r>
      <w:r w:rsidR="004A62D7">
        <w:rPr>
          <w:rFonts w:ascii="Calibri" w:hAnsi="Calibri" w:eastAsia="ArnhemPro-BlondItalic" w:cs="Arial"/>
          <w:iCs/>
          <w:lang w:val="cs-CZ"/>
        </w:rPr>
        <w:t> </w:t>
      </w:r>
      <w:r w:rsidRPr="00EB5D15">
        <w:rPr>
          <w:rFonts w:ascii="Calibri" w:hAnsi="Calibri" w:eastAsia="ArnhemPro-BlondItalic" w:cs="Arial"/>
          <w:iCs/>
          <w:lang w:val="cs-CZ"/>
        </w:rPr>
        <w:t>pronájmu</w:t>
      </w:r>
      <w:r w:rsidR="004A62D7">
        <w:rPr>
          <w:rFonts w:ascii="Calibri" w:hAnsi="Calibri" w:eastAsia="ArnhemPro-BlondItalic" w:cs="Arial"/>
          <w:iCs/>
          <w:lang w:val="cs-CZ"/>
        </w:rPr>
        <w:t xml:space="preserve"> (např. od developerů AFI </w:t>
      </w:r>
      <w:proofErr w:type="spellStart"/>
      <w:r w:rsidR="004A62D7">
        <w:rPr>
          <w:rFonts w:ascii="Calibri" w:hAnsi="Calibri" w:eastAsia="ArnhemPro-BlondItalic" w:cs="Arial"/>
          <w:iCs/>
          <w:lang w:val="cs-CZ"/>
        </w:rPr>
        <w:t>Europe</w:t>
      </w:r>
      <w:proofErr w:type="spellEnd"/>
      <w:r w:rsidR="004A62D7">
        <w:rPr>
          <w:rFonts w:ascii="Calibri" w:hAnsi="Calibri" w:eastAsia="ArnhemPro-BlondItalic" w:cs="Arial"/>
          <w:iCs/>
          <w:lang w:val="cs-CZ"/>
        </w:rPr>
        <w:t xml:space="preserve">, </w:t>
      </w:r>
      <w:proofErr w:type="spellStart"/>
      <w:r w:rsidR="005D0BF0">
        <w:rPr>
          <w:rFonts w:ascii="Calibri" w:hAnsi="Calibri" w:eastAsia="ArnhemPro-BlondItalic" w:cs="Arial"/>
          <w:iCs/>
          <w:lang w:val="cs-CZ"/>
        </w:rPr>
        <w:t>Daramis</w:t>
      </w:r>
      <w:proofErr w:type="spellEnd"/>
      <w:r w:rsidR="005D0BF0">
        <w:rPr>
          <w:rFonts w:ascii="Calibri" w:hAnsi="Calibri" w:eastAsia="ArnhemPro-BlondItalic" w:cs="Arial"/>
          <w:iCs/>
          <w:lang w:val="cs-CZ"/>
        </w:rPr>
        <w:t xml:space="preserve">, </w:t>
      </w:r>
      <w:proofErr w:type="spellStart"/>
      <w:r w:rsidR="004A62D7">
        <w:rPr>
          <w:rFonts w:ascii="Calibri" w:hAnsi="Calibri" w:eastAsia="ArnhemPro-BlondItalic" w:cs="Arial"/>
          <w:iCs/>
          <w:lang w:val="cs-CZ"/>
        </w:rPr>
        <w:t>Trigema</w:t>
      </w:r>
      <w:proofErr w:type="spellEnd"/>
      <w:r w:rsidR="004C2B18">
        <w:rPr>
          <w:rFonts w:ascii="Calibri" w:hAnsi="Calibri" w:eastAsia="ArnhemPro-BlondItalic" w:cs="Arial"/>
          <w:iCs/>
          <w:lang w:val="cs-CZ"/>
        </w:rPr>
        <w:t>, Sekyra</w:t>
      </w:r>
      <w:r w:rsidR="003462C8">
        <w:rPr>
          <w:rFonts w:ascii="Calibri" w:hAnsi="Calibri" w:eastAsia="ArnhemPro-BlondItalic" w:cs="Arial"/>
          <w:iCs/>
          <w:lang w:val="cs-CZ"/>
        </w:rPr>
        <w:t xml:space="preserve"> Group</w:t>
      </w:r>
      <w:r w:rsidR="004A62D7">
        <w:rPr>
          <w:rFonts w:ascii="Calibri" w:hAnsi="Calibri" w:eastAsia="ArnhemPro-BlondItalic" w:cs="Arial"/>
          <w:iCs/>
          <w:lang w:val="cs-CZ"/>
        </w:rPr>
        <w:t xml:space="preserve"> či YIT)</w:t>
      </w:r>
      <w:r w:rsidR="004E1289">
        <w:rPr>
          <w:rFonts w:ascii="Calibri" w:hAnsi="Calibri" w:eastAsia="ArnhemPro-BlondItalic" w:cs="Arial"/>
          <w:iCs/>
          <w:lang w:val="cs-CZ"/>
        </w:rPr>
        <w:t>. N</w:t>
      </w:r>
      <w:r w:rsidRPr="00EB5D15">
        <w:rPr>
          <w:rFonts w:ascii="Calibri" w:hAnsi="Calibri" w:eastAsia="ArnhemPro-BlondItalic" w:cs="Arial"/>
          <w:iCs/>
          <w:lang w:val="cs-CZ"/>
        </w:rPr>
        <w:t xml:space="preserve">ájemní byty </w:t>
      </w:r>
      <w:r w:rsidR="004E1289">
        <w:rPr>
          <w:rFonts w:ascii="Calibri" w:hAnsi="Calibri" w:eastAsia="ArnhemPro-BlondItalic" w:cs="Arial"/>
          <w:iCs/>
          <w:lang w:val="cs-CZ"/>
        </w:rPr>
        <w:t xml:space="preserve">však </w:t>
      </w:r>
      <w:r w:rsidRPr="00EB5D15" w:rsidR="007844BC">
        <w:rPr>
          <w:rFonts w:ascii="Calibri" w:hAnsi="Calibri" w:eastAsia="ArnhemPro-BlondItalic" w:cs="Arial"/>
          <w:iCs/>
          <w:lang w:val="cs-CZ"/>
        </w:rPr>
        <w:t xml:space="preserve">mohou vznikat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i </w:t>
      </w:r>
      <w:r w:rsidRPr="00EB5D15" w:rsidR="00DE4A5C">
        <w:rPr>
          <w:rFonts w:ascii="Calibri" w:hAnsi="Calibri" w:eastAsia="ArnhemPro-BlondItalic" w:cs="Arial"/>
          <w:iCs/>
          <w:lang w:val="cs-CZ"/>
        </w:rPr>
        <w:t>přeměnou</w:t>
      </w:r>
      <w:r w:rsidR="00DC29E6">
        <w:rPr>
          <w:rFonts w:ascii="Calibri" w:hAnsi="Calibri" w:eastAsia="ArnhemPro-BlondItalic" w:cs="Arial"/>
          <w:iCs/>
          <w:lang w:val="cs-CZ"/>
        </w:rPr>
        <w:t xml:space="preserve"> stávajících budov – t</w:t>
      </w:r>
      <w:r w:rsidRPr="00EB5D15">
        <w:rPr>
          <w:rFonts w:ascii="Calibri" w:hAnsi="Calibri" w:eastAsia="ArnhemPro-BlondItalic" w:cs="Arial"/>
          <w:iCs/>
          <w:lang w:val="cs-CZ"/>
        </w:rPr>
        <w:t xml:space="preserve">řeba </w:t>
      </w:r>
      <w:r w:rsidR="00DC29E6">
        <w:rPr>
          <w:rFonts w:ascii="Calibri" w:hAnsi="Calibri" w:eastAsia="ArnhemPro-BlondItalic" w:cs="Arial"/>
          <w:iCs/>
          <w:lang w:val="cs-CZ"/>
        </w:rPr>
        <w:t xml:space="preserve">hotelů </w:t>
      </w:r>
      <w:r w:rsidRPr="00EB5D15" w:rsidR="001637FF">
        <w:rPr>
          <w:rFonts w:ascii="Calibri" w:hAnsi="Calibri" w:eastAsia="ArnhemPro-BlondItalic" w:cs="Arial"/>
          <w:iCs/>
          <w:lang w:val="cs-CZ"/>
        </w:rPr>
        <w:t xml:space="preserve">nebo </w:t>
      </w:r>
      <w:r w:rsidRPr="00EB5D15">
        <w:rPr>
          <w:rFonts w:ascii="Calibri" w:hAnsi="Calibri" w:eastAsia="ArnhemPro-BlondItalic" w:cs="Arial"/>
          <w:iCs/>
          <w:lang w:val="cs-CZ"/>
        </w:rPr>
        <w:t>star</w:t>
      </w:r>
      <w:r w:rsidR="004A62D7">
        <w:rPr>
          <w:rFonts w:ascii="Calibri" w:hAnsi="Calibri" w:eastAsia="ArnhemPro-BlondItalic" w:cs="Arial"/>
          <w:iCs/>
          <w:lang w:val="cs-CZ"/>
        </w:rPr>
        <w:t>ší</w:t>
      </w:r>
      <w:r w:rsidRPr="00EB5D15" w:rsidR="001637FF">
        <w:rPr>
          <w:rFonts w:ascii="Calibri" w:hAnsi="Calibri" w:eastAsia="ArnhemPro-BlondItalic" w:cs="Arial"/>
          <w:iCs/>
          <w:lang w:val="cs-CZ"/>
        </w:rPr>
        <w:t>ch</w:t>
      </w:r>
      <w:r w:rsidRPr="00EB5D15">
        <w:rPr>
          <w:rFonts w:ascii="Calibri" w:hAnsi="Calibri" w:eastAsia="ArnhemPro-BlondItalic" w:cs="Arial"/>
          <w:iCs/>
          <w:lang w:val="cs-CZ"/>
        </w:rPr>
        <w:t xml:space="preserve"> činžovní</w:t>
      </w:r>
      <w:r w:rsidRPr="00EB5D15" w:rsidR="001637FF">
        <w:rPr>
          <w:rFonts w:ascii="Calibri" w:hAnsi="Calibri" w:eastAsia="ArnhemPro-BlondItalic" w:cs="Arial"/>
          <w:iCs/>
          <w:lang w:val="cs-CZ"/>
        </w:rPr>
        <w:t>ch</w:t>
      </w:r>
      <w:r w:rsidRPr="00EB5D15" w:rsidR="00CF508E">
        <w:rPr>
          <w:rFonts w:ascii="Calibri" w:hAnsi="Calibri" w:eastAsia="ArnhemPro-BlondItalic" w:cs="Arial"/>
          <w:iCs/>
          <w:lang w:val="cs-CZ"/>
        </w:rPr>
        <w:t xml:space="preserve"> domů</w:t>
      </w:r>
      <w:r w:rsidRPr="00EB5D15" w:rsidR="007844BC">
        <w:rPr>
          <w:rFonts w:ascii="Calibri" w:hAnsi="Calibri" w:eastAsia="ArnhemPro-BlondItalic" w:cs="Arial"/>
          <w:iCs/>
          <w:lang w:val="cs-CZ"/>
        </w:rPr>
        <w:t>, které v</w:t>
      </w:r>
      <w:r w:rsidRPr="00EB5D15" w:rsidR="00C011DF">
        <w:rPr>
          <w:rFonts w:ascii="Calibri" w:hAnsi="Calibri" w:eastAsia="ArnhemPro-BlondItalic" w:cs="Arial"/>
          <w:iCs/>
          <w:lang w:val="cs-CZ"/>
        </w:rPr>
        <w:t> </w:t>
      </w:r>
      <w:r w:rsidR="002C591A">
        <w:rPr>
          <w:rFonts w:ascii="Calibri" w:hAnsi="Calibri" w:eastAsia="ArnhemPro-BlondItalic" w:cs="Arial"/>
          <w:iCs/>
          <w:lang w:val="cs-CZ"/>
        </w:rPr>
        <w:t xml:space="preserve">centru Prahy </w:t>
      </w:r>
      <w:r w:rsidRPr="00EB5D15" w:rsidR="00DE4A5C">
        <w:rPr>
          <w:rFonts w:ascii="Calibri" w:hAnsi="Calibri" w:eastAsia="ArnhemPro-BlondItalic" w:cs="Arial"/>
          <w:iCs/>
          <w:lang w:val="cs-CZ"/>
        </w:rPr>
        <w:t>rekonstruuje</w:t>
      </w:r>
      <w:r w:rsidRPr="00EB5D15" w:rsidR="007844BC">
        <w:rPr>
          <w:rFonts w:ascii="Calibri" w:hAnsi="Calibri" w:eastAsia="ArnhemPro-BlondItalic" w:cs="Arial"/>
          <w:iCs/>
          <w:lang w:val="cs-CZ"/>
        </w:rPr>
        <w:t xml:space="preserve"> </w:t>
      </w:r>
      <w:r w:rsidR="002C591A">
        <w:rPr>
          <w:rFonts w:ascii="Calibri" w:hAnsi="Calibri" w:eastAsia="ArnhemPro-BlondItalic" w:cs="Arial"/>
          <w:iCs/>
          <w:lang w:val="cs-CZ"/>
        </w:rPr>
        <w:t xml:space="preserve">například </w:t>
      </w:r>
      <w:r w:rsidRPr="00EB5D15" w:rsidR="007844BC">
        <w:rPr>
          <w:rFonts w:ascii="Calibri" w:hAnsi="Calibri" w:eastAsia="ArnhemPro-BlondItalic" w:cs="Arial"/>
          <w:iCs/>
          <w:lang w:val="cs-CZ"/>
        </w:rPr>
        <w:t xml:space="preserve">společnost </w:t>
      </w:r>
      <w:proofErr w:type="spellStart"/>
      <w:r w:rsidRPr="00EB5D15">
        <w:rPr>
          <w:rFonts w:ascii="Calibri" w:hAnsi="Calibri" w:eastAsia="ArnhemPro-BlondItalic" w:cs="Arial"/>
          <w:iCs/>
          <w:lang w:val="cs-CZ"/>
        </w:rPr>
        <w:t>Zeigeist</w:t>
      </w:r>
      <w:proofErr w:type="spellEnd"/>
      <w:r w:rsidRPr="00EB5D15">
        <w:rPr>
          <w:rFonts w:ascii="Calibri" w:hAnsi="Calibri" w:eastAsia="ArnhemPro-BlondItalic" w:cs="Arial"/>
          <w:iCs/>
          <w:lang w:val="cs-CZ"/>
        </w:rPr>
        <w:t xml:space="preserve"> Asset Management. I přesto je vhodných produktů na trhu</w:t>
      </w:r>
      <w:r w:rsidRPr="00EB5D15" w:rsidR="001637FF">
        <w:rPr>
          <w:rFonts w:ascii="Calibri" w:hAnsi="Calibri" w:eastAsia="ArnhemPro-BlondItalic" w:cs="Arial"/>
          <w:iCs/>
          <w:lang w:val="cs-CZ"/>
        </w:rPr>
        <w:t xml:space="preserve"> omezené množství</w:t>
      </w:r>
      <w:r w:rsidRPr="00EB5D15">
        <w:rPr>
          <w:rFonts w:ascii="Calibri" w:hAnsi="Calibri" w:eastAsia="ArnhemPro-BlondItalic" w:cs="Arial"/>
          <w:iCs/>
          <w:lang w:val="cs-CZ"/>
        </w:rPr>
        <w:t xml:space="preserve">. Developeři dlouho neměli důvod zvažovat změnu </w:t>
      </w:r>
      <w:r w:rsidRPr="00EB5D15" w:rsidR="007844BC">
        <w:rPr>
          <w:rFonts w:ascii="Calibri" w:hAnsi="Calibri" w:eastAsia="ArnhemPro-BlondItalic" w:cs="Arial"/>
          <w:iCs/>
          <w:lang w:val="cs-CZ"/>
        </w:rPr>
        <w:t xml:space="preserve">své </w:t>
      </w:r>
      <w:r w:rsidRPr="00EB5D15">
        <w:rPr>
          <w:rFonts w:ascii="Calibri" w:hAnsi="Calibri" w:eastAsia="ArnhemPro-BlondItalic" w:cs="Arial"/>
          <w:iCs/>
          <w:lang w:val="cs-CZ"/>
        </w:rPr>
        <w:t xml:space="preserve">strategie ve prospěch nájemního bydlení, </w:t>
      </w:r>
      <w:r w:rsidRPr="00EB5D15" w:rsidR="001637FF">
        <w:rPr>
          <w:rFonts w:ascii="Calibri" w:hAnsi="Calibri" w:eastAsia="ArnhemPro-BlondItalic" w:cs="Arial"/>
          <w:iCs/>
          <w:lang w:val="cs-CZ"/>
        </w:rPr>
        <w:t>protože většina bytů se prodá ještě před jejich dokončením. A</w:t>
      </w:r>
      <w:r w:rsidRPr="00EB5D15">
        <w:rPr>
          <w:rFonts w:ascii="Calibri" w:hAnsi="Calibri" w:eastAsia="ArnhemPro-BlondItalic" w:cs="Arial"/>
          <w:iCs/>
          <w:lang w:val="cs-CZ"/>
        </w:rPr>
        <w:t xml:space="preserve">le </w:t>
      </w:r>
      <w:r w:rsidRPr="00EB5D15" w:rsidR="001637FF">
        <w:rPr>
          <w:rFonts w:ascii="Calibri" w:hAnsi="Calibri" w:eastAsia="ArnhemPro-BlondItalic" w:cs="Arial"/>
          <w:iCs/>
          <w:lang w:val="cs-CZ"/>
        </w:rPr>
        <w:t>i to se postup</w:t>
      </w:r>
      <w:r w:rsidRPr="00EB5D15" w:rsidR="00DE4A5C">
        <w:rPr>
          <w:rFonts w:ascii="Calibri" w:hAnsi="Calibri" w:eastAsia="ArnhemPro-BlondItalic" w:cs="Arial"/>
          <w:iCs/>
          <w:lang w:val="cs-CZ"/>
        </w:rPr>
        <w:t>em času</w:t>
      </w:r>
      <w:r w:rsidRPr="00EB5D15" w:rsidR="001637FF">
        <w:rPr>
          <w:rFonts w:ascii="Calibri" w:hAnsi="Calibri" w:eastAsia="ArnhemPro-BlondItalic" w:cs="Arial"/>
          <w:iCs/>
          <w:lang w:val="cs-CZ"/>
        </w:rPr>
        <w:t xml:space="preserve"> mění v závislosti na rostoucí poptávce </w:t>
      </w:r>
      <w:r w:rsidRPr="00EB5D15" w:rsidR="00DE4A5C">
        <w:rPr>
          <w:rFonts w:ascii="Calibri" w:hAnsi="Calibri" w:eastAsia="ArnhemPro-BlondItalic" w:cs="Arial"/>
          <w:iCs/>
          <w:lang w:val="cs-CZ"/>
        </w:rPr>
        <w:t>velkých</w:t>
      </w:r>
      <w:r w:rsidRPr="00EB5D15" w:rsidR="001637FF">
        <w:rPr>
          <w:rFonts w:ascii="Calibri" w:hAnsi="Calibri" w:eastAsia="ArnhemPro-BlondItalic" w:cs="Arial"/>
          <w:iCs/>
          <w:lang w:val="cs-CZ"/>
        </w:rPr>
        <w:t xml:space="preserve"> investorů.</w:t>
      </w:r>
    </w:p>
    <w:p xmlns:wp14="http://schemas.microsoft.com/office/word/2010/wordml" w:rsidRPr="00EB5D15" w:rsidR="007A4D5B" w:rsidP="00122DD2" w:rsidRDefault="007A4D5B" w14:paraId="5A39BBE3" wp14:textId="77777777">
      <w:pPr>
        <w:jc w:val="both"/>
        <w:rPr>
          <w:rFonts w:ascii="Calibri" w:hAnsi="Calibri" w:eastAsia="ArnhemPro-BlondItalic" w:cs="Arial"/>
          <w:iCs/>
          <w:lang w:val="cs-CZ"/>
        </w:rPr>
      </w:pPr>
    </w:p>
    <w:p xmlns:wp14="http://schemas.microsoft.com/office/word/2010/wordml" w:rsidRPr="00EB5D15" w:rsidR="00122DD2" w:rsidP="00122DD2" w:rsidRDefault="00122DD2" w14:paraId="24CBEB1D" wp14:textId="77777777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lang w:val="cs-CZ"/>
        </w:rPr>
      </w:pPr>
      <w:r w:rsidRPr="00EB5D15">
        <w:rPr>
          <w:rFonts w:ascii="Calibri" w:hAnsi="Calibri" w:cs="Arial"/>
          <w:b/>
          <w:color w:val="000000"/>
          <w:lang w:val="cs-CZ"/>
        </w:rPr>
        <w:t>Investice do sektoru nájemního bydlení v ČR v následujících letech významně porostou</w:t>
      </w:r>
    </w:p>
    <w:p xmlns:wp14="http://schemas.microsoft.com/office/word/2010/wordml" w:rsidR="00122DD2" w:rsidP="00122DD2" w:rsidRDefault="002C591A" w14:paraId="7573405E" wp14:textId="7777777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cs-CZ"/>
        </w:rPr>
      </w:pPr>
      <w:r>
        <w:rPr>
          <w:rFonts w:ascii="Calibri" w:hAnsi="Calibri" w:cs="Arial"/>
          <w:color w:val="000000"/>
          <w:lang w:val="cs-CZ"/>
        </w:rPr>
        <w:t>Aktuální z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ájem o produkty nájemního bydlení je </w:t>
      </w:r>
      <w:r w:rsidRPr="00EB5D15" w:rsidR="001637FF">
        <w:rPr>
          <w:rFonts w:ascii="Calibri" w:hAnsi="Calibri" w:cs="Arial"/>
          <w:color w:val="000000"/>
          <w:lang w:val="cs-CZ"/>
        </w:rPr>
        <w:t>z pohledu invest</w:t>
      </w:r>
      <w:r w:rsidRPr="00EB5D15" w:rsidR="007844BC">
        <w:rPr>
          <w:rFonts w:ascii="Calibri" w:hAnsi="Calibri" w:cs="Arial"/>
          <w:color w:val="000000"/>
          <w:lang w:val="cs-CZ"/>
        </w:rPr>
        <w:t xml:space="preserve">orů </w:t>
      </w:r>
      <w:r w:rsidRPr="00EB5D15" w:rsidR="00122DD2">
        <w:rPr>
          <w:rFonts w:ascii="Calibri" w:hAnsi="Calibri" w:cs="Arial"/>
          <w:color w:val="000000"/>
          <w:lang w:val="cs-CZ"/>
        </w:rPr>
        <w:t>hned na druhém místě za</w:t>
      </w:r>
      <w:r w:rsidRPr="00EB5D15" w:rsidR="00C011DF">
        <w:rPr>
          <w:rFonts w:ascii="Calibri" w:hAnsi="Calibri" w:cs="Arial"/>
          <w:color w:val="000000"/>
          <w:lang w:val="cs-CZ"/>
        </w:rPr>
        <w:t> 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kancelářemi. </w:t>
      </w:r>
      <w:r w:rsidR="00DC29E6">
        <w:rPr>
          <w:rFonts w:ascii="Calibri" w:hAnsi="Calibri" w:cs="Arial"/>
          <w:color w:val="000000"/>
          <w:lang w:val="cs-CZ"/>
        </w:rPr>
        <w:t xml:space="preserve">Právě </w:t>
      </w:r>
      <w:r w:rsidRPr="00EB5D15" w:rsidR="00DC29E6">
        <w:rPr>
          <w:rFonts w:ascii="Calibri" w:hAnsi="Calibri" w:cs="Arial"/>
          <w:color w:val="000000"/>
          <w:lang w:val="cs-CZ"/>
        </w:rPr>
        <w:t xml:space="preserve">odprodej rezidenčního portfolia vlastněného společností </w:t>
      </w:r>
      <w:proofErr w:type="spellStart"/>
      <w:r w:rsidRPr="00EB5D15" w:rsidR="00DC29E6">
        <w:rPr>
          <w:rFonts w:ascii="Calibri" w:hAnsi="Calibri" w:cs="Arial"/>
          <w:color w:val="000000"/>
          <w:lang w:val="cs-CZ"/>
        </w:rPr>
        <w:t>Round</w:t>
      </w:r>
      <w:proofErr w:type="spellEnd"/>
      <w:r w:rsidRPr="00EB5D15" w:rsidR="00DC29E6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EB5D15" w:rsidR="00DC29E6">
        <w:rPr>
          <w:rFonts w:ascii="Calibri" w:hAnsi="Calibri" w:cs="Arial"/>
          <w:color w:val="000000"/>
          <w:lang w:val="cs-CZ"/>
        </w:rPr>
        <w:t>Hill</w:t>
      </w:r>
      <w:proofErr w:type="spellEnd"/>
      <w:r w:rsidRPr="00EB5D15" w:rsidR="00DC29E6">
        <w:rPr>
          <w:rFonts w:ascii="Calibri" w:hAnsi="Calibri" w:cs="Arial"/>
          <w:color w:val="000000"/>
          <w:lang w:val="cs-CZ"/>
        </w:rPr>
        <w:t xml:space="preserve"> Capital společnosti </w:t>
      </w:r>
      <w:proofErr w:type="spellStart"/>
      <w:r w:rsidRPr="00EB5D15" w:rsidR="00DC29E6">
        <w:rPr>
          <w:rFonts w:ascii="Calibri" w:hAnsi="Calibri" w:cs="Arial"/>
          <w:color w:val="000000"/>
          <w:lang w:val="cs-CZ"/>
        </w:rPr>
        <w:t>Heimstaden</w:t>
      </w:r>
      <w:proofErr w:type="spellEnd"/>
      <w:r w:rsidRPr="00EB5D15" w:rsidR="00DC29E6">
        <w:rPr>
          <w:rFonts w:ascii="Calibri" w:hAnsi="Calibri" w:cs="Arial"/>
          <w:color w:val="000000"/>
          <w:lang w:val="cs-CZ"/>
        </w:rPr>
        <w:t xml:space="preserve"> </w:t>
      </w:r>
      <w:proofErr w:type="spellStart"/>
      <w:r w:rsidRPr="00EB5D15" w:rsidR="00DC29E6">
        <w:rPr>
          <w:rFonts w:ascii="Calibri" w:hAnsi="Calibri" w:cs="Arial"/>
          <w:color w:val="000000"/>
          <w:lang w:val="cs-CZ"/>
        </w:rPr>
        <w:t>Bostad</w:t>
      </w:r>
      <w:proofErr w:type="spellEnd"/>
      <w:r w:rsidRPr="00EB5D15" w:rsidR="00DC29E6">
        <w:rPr>
          <w:rFonts w:ascii="Calibri" w:hAnsi="Calibri" w:cs="Arial"/>
          <w:color w:val="000000"/>
          <w:lang w:val="cs-CZ"/>
        </w:rPr>
        <w:t xml:space="preserve"> za cca 1,3 miliardy eur</w:t>
      </w:r>
      <w:r w:rsidR="00DC29E6">
        <w:rPr>
          <w:rFonts w:ascii="Calibri" w:hAnsi="Calibri" w:cs="Arial"/>
          <w:color w:val="000000"/>
          <w:lang w:val="cs-CZ"/>
        </w:rPr>
        <w:t xml:space="preserve"> se st</w:t>
      </w:r>
      <w:r>
        <w:rPr>
          <w:rFonts w:ascii="Calibri" w:hAnsi="Calibri" w:cs="Arial"/>
          <w:color w:val="000000"/>
          <w:lang w:val="cs-CZ"/>
        </w:rPr>
        <w:t>al největší českou transakcí loň</w:t>
      </w:r>
      <w:r w:rsidR="00DC29E6">
        <w:rPr>
          <w:rFonts w:ascii="Calibri" w:hAnsi="Calibri" w:cs="Arial"/>
          <w:color w:val="000000"/>
          <w:lang w:val="cs-CZ"/>
        </w:rPr>
        <w:t>ského roku.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 </w:t>
      </w:r>
      <w:r w:rsidRPr="00EB5D15" w:rsidR="001637FF">
        <w:rPr>
          <w:rFonts w:ascii="Calibri" w:hAnsi="Calibri" w:cs="Arial"/>
          <w:i/>
          <w:color w:val="000000"/>
          <w:lang w:val="cs-CZ"/>
        </w:rPr>
        <w:t>„</w:t>
      </w:r>
      <w:r w:rsidRPr="00EB5D15" w:rsidR="00122DD2">
        <w:rPr>
          <w:rFonts w:ascii="Calibri" w:hAnsi="Calibri" w:cs="Arial"/>
          <w:i/>
          <w:color w:val="000000"/>
          <w:lang w:val="cs-CZ"/>
        </w:rPr>
        <w:t>Vzhledem k velké poptávce investorů předpokládáme, že výnosy z </w:t>
      </w:r>
      <w:r w:rsidRPr="00EB5D15" w:rsidR="001637FF">
        <w:rPr>
          <w:rFonts w:ascii="Calibri" w:hAnsi="Calibri" w:cs="Arial"/>
          <w:i/>
          <w:color w:val="000000"/>
          <w:lang w:val="cs-CZ"/>
        </w:rPr>
        <w:t>náje</w:t>
      </w:r>
      <w:r w:rsidRPr="00EB5D15" w:rsidR="003075BA">
        <w:rPr>
          <w:rFonts w:ascii="Calibri" w:hAnsi="Calibri" w:cs="Arial"/>
          <w:i/>
          <w:color w:val="000000"/>
          <w:lang w:val="cs-CZ"/>
        </w:rPr>
        <w:t>m</w:t>
      </w:r>
      <w:r w:rsidRPr="00EB5D15" w:rsidR="001637FF">
        <w:rPr>
          <w:rFonts w:ascii="Calibri" w:hAnsi="Calibri" w:cs="Arial"/>
          <w:i/>
          <w:color w:val="000000"/>
          <w:lang w:val="cs-CZ"/>
        </w:rPr>
        <w:t>ních</w:t>
      </w:r>
      <w:r w:rsidRPr="00EB5D15" w:rsidR="00122DD2">
        <w:rPr>
          <w:rFonts w:ascii="Calibri" w:hAnsi="Calibri" w:cs="Arial"/>
          <w:i/>
          <w:color w:val="000000"/>
          <w:lang w:val="cs-CZ"/>
        </w:rPr>
        <w:t xml:space="preserve"> nemovitostí se </w:t>
      </w:r>
      <w:r w:rsidRPr="00EB5D15" w:rsidR="003075BA">
        <w:rPr>
          <w:rFonts w:ascii="Calibri" w:hAnsi="Calibri" w:cs="Arial"/>
          <w:i/>
          <w:color w:val="000000"/>
          <w:lang w:val="cs-CZ"/>
        </w:rPr>
        <w:t xml:space="preserve">dostanou na úroveň </w:t>
      </w:r>
      <w:r w:rsidRPr="00EB5D15" w:rsidR="00122DD2">
        <w:rPr>
          <w:rFonts w:ascii="Calibri" w:hAnsi="Calibri" w:cs="Arial"/>
          <w:i/>
          <w:color w:val="000000"/>
          <w:lang w:val="cs-CZ"/>
        </w:rPr>
        <w:t>4 %</w:t>
      </w:r>
      <w:r w:rsidR="00DC29E6">
        <w:rPr>
          <w:rFonts w:ascii="Calibri" w:hAnsi="Calibri" w:cs="Arial"/>
          <w:i/>
          <w:color w:val="000000"/>
          <w:lang w:val="cs-CZ"/>
        </w:rPr>
        <w:t xml:space="preserve"> (pro srovnání – v Ženevě výnosy činí 1,9 %, v Berlíně 2,25 %, ve Vídni 3 % a ve Varšavě 5,25 %). </w:t>
      </w:r>
      <w:r w:rsidRPr="00EB5D15" w:rsidR="00122DD2">
        <w:rPr>
          <w:rFonts w:ascii="Calibri" w:hAnsi="Calibri" w:cs="Arial"/>
          <w:i/>
          <w:color w:val="000000"/>
          <w:lang w:val="cs-CZ"/>
        </w:rPr>
        <w:t>A je zřejmé, že tuzemský trh na to zareaguje. Již</w:t>
      </w:r>
      <w:r w:rsidRPr="00EB5D15" w:rsidR="00C011DF">
        <w:rPr>
          <w:rFonts w:ascii="Calibri" w:hAnsi="Calibri" w:cs="Arial"/>
          <w:i/>
          <w:color w:val="000000"/>
          <w:lang w:val="cs-CZ"/>
        </w:rPr>
        <w:t> </w:t>
      </w:r>
      <w:r w:rsidRPr="00EB5D15" w:rsidR="00122DD2">
        <w:rPr>
          <w:rFonts w:ascii="Calibri" w:hAnsi="Calibri" w:cs="Arial"/>
          <w:i/>
          <w:color w:val="000000"/>
          <w:lang w:val="cs-CZ"/>
        </w:rPr>
        <w:t xml:space="preserve">nyní se někteří developeři, kteří dříve stavěli byty na prodej, nově zaměřují na výstavbu nájemních bytů. Příkladem je AFI </w:t>
      </w:r>
      <w:proofErr w:type="spellStart"/>
      <w:r w:rsidRPr="00EB5D15" w:rsidR="00122DD2">
        <w:rPr>
          <w:rFonts w:ascii="Calibri" w:hAnsi="Calibri" w:cs="Arial"/>
          <w:i/>
          <w:color w:val="000000"/>
          <w:lang w:val="cs-CZ"/>
        </w:rPr>
        <w:t>Europe</w:t>
      </w:r>
      <w:proofErr w:type="spellEnd"/>
      <w:r w:rsidRPr="00EB5D15" w:rsidR="00122DD2">
        <w:rPr>
          <w:rFonts w:ascii="Calibri" w:hAnsi="Calibri" w:cs="Arial"/>
          <w:i/>
          <w:color w:val="000000"/>
          <w:lang w:val="cs-CZ"/>
        </w:rPr>
        <w:t>, která v</w:t>
      </w:r>
      <w:r w:rsidRPr="00EB5D15" w:rsidR="00DE4A5C">
        <w:rPr>
          <w:rFonts w:ascii="Calibri" w:hAnsi="Calibri" w:cs="Arial"/>
          <w:i/>
          <w:color w:val="000000"/>
          <w:lang w:val="cs-CZ"/>
        </w:rPr>
        <w:t xml:space="preserve"> metropoli realizuje </w:t>
      </w:r>
      <w:r w:rsidRPr="00EB5D15" w:rsidR="00122DD2">
        <w:rPr>
          <w:rFonts w:ascii="Calibri" w:hAnsi="Calibri" w:cs="Arial"/>
          <w:i/>
          <w:color w:val="000000"/>
          <w:lang w:val="cs-CZ"/>
        </w:rPr>
        <w:t>již tři projekty n</w:t>
      </w:r>
      <w:r w:rsidRPr="00EB5D15" w:rsidR="003075BA">
        <w:rPr>
          <w:rFonts w:ascii="Calibri" w:hAnsi="Calibri" w:cs="Arial"/>
          <w:i/>
          <w:color w:val="000000"/>
          <w:lang w:val="cs-CZ"/>
        </w:rPr>
        <w:t>ájemního</w:t>
      </w:r>
      <w:r w:rsidR="00DC29E6">
        <w:rPr>
          <w:rFonts w:ascii="Calibri" w:hAnsi="Calibri" w:cs="Arial"/>
          <w:i/>
          <w:color w:val="000000"/>
          <w:lang w:val="cs-CZ"/>
        </w:rPr>
        <w:t xml:space="preserve"> bydlení s</w:t>
      </w:r>
      <w:r w:rsidR="005B3753">
        <w:rPr>
          <w:rFonts w:ascii="Calibri" w:hAnsi="Calibri" w:cs="Arial"/>
          <w:i/>
          <w:color w:val="000000"/>
          <w:lang w:val="cs-CZ"/>
        </w:rPr>
        <w:t> </w:t>
      </w:r>
      <w:r w:rsidR="00DC29E6">
        <w:rPr>
          <w:rFonts w:ascii="Calibri" w:hAnsi="Calibri" w:cs="Arial"/>
          <w:i/>
          <w:color w:val="000000"/>
          <w:lang w:val="cs-CZ"/>
        </w:rPr>
        <w:t>cca</w:t>
      </w:r>
      <w:r w:rsidR="005B3753">
        <w:rPr>
          <w:rFonts w:ascii="Calibri" w:hAnsi="Calibri" w:cs="Arial"/>
          <w:i/>
          <w:color w:val="000000"/>
          <w:lang w:val="cs-CZ"/>
        </w:rPr>
        <w:t> </w:t>
      </w:r>
      <w:r w:rsidR="00DC29E6">
        <w:rPr>
          <w:rFonts w:ascii="Calibri" w:hAnsi="Calibri" w:cs="Arial"/>
          <w:i/>
          <w:color w:val="000000"/>
          <w:lang w:val="cs-CZ"/>
        </w:rPr>
        <w:t>550 </w:t>
      </w:r>
      <w:r w:rsidRPr="00EB5D15" w:rsidR="003075BA">
        <w:rPr>
          <w:rFonts w:ascii="Calibri" w:hAnsi="Calibri" w:cs="Arial"/>
          <w:i/>
          <w:color w:val="000000"/>
          <w:lang w:val="cs-CZ"/>
        </w:rPr>
        <w:t>byty</w:t>
      </w:r>
      <w:r w:rsidRPr="00EB5D15" w:rsidR="006D5962">
        <w:rPr>
          <w:rFonts w:ascii="Calibri" w:hAnsi="Calibri" w:cs="Arial"/>
          <w:i/>
          <w:color w:val="000000"/>
          <w:lang w:val="cs-CZ"/>
        </w:rPr>
        <w:t xml:space="preserve">,“ </w:t>
      </w:r>
      <w:r w:rsidRPr="00EB5D15" w:rsidR="006D5962">
        <w:rPr>
          <w:rFonts w:ascii="Calibri" w:hAnsi="Calibri" w:cs="Arial"/>
          <w:color w:val="000000"/>
          <w:lang w:val="cs-CZ"/>
        </w:rPr>
        <w:t xml:space="preserve">uvádí </w:t>
      </w:r>
      <w:r w:rsidRPr="00EB5D15" w:rsidR="006D5962">
        <w:rPr>
          <w:rFonts w:ascii="Calibri" w:hAnsi="Calibri" w:cs="Arial"/>
          <w:b/>
          <w:color w:val="000000"/>
          <w:lang w:val="cs-CZ"/>
        </w:rPr>
        <w:t>Jakub Štěpán</w:t>
      </w:r>
      <w:r w:rsidR="00C23428">
        <w:rPr>
          <w:rFonts w:ascii="Calibri" w:hAnsi="Calibri" w:cs="Arial"/>
          <w:color w:val="000000"/>
          <w:lang w:val="cs-CZ"/>
        </w:rPr>
        <w:t>, který se kromě oceňování projektů nájemního bydlení</w:t>
      </w:r>
      <w:r w:rsidR="00D0467E">
        <w:rPr>
          <w:rFonts w:ascii="Calibri" w:hAnsi="Calibri" w:cs="Arial"/>
          <w:color w:val="000000"/>
          <w:lang w:val="cs-CZ"/>
        </w:rPr>
        <w:t xml:space="preserve"> zabývá také </w:t>
      </w:r>
      <w:r w:rsidR="00C23428">
        <w:rPr>
          <w:rFonts w:ascii="Calibri" w:hAnsi="Calibri" w:cs="Arial"/>
          <w:color w:val="000000"/>
          <w:lang w:val="cs-CZ"/>
        </w:rPr>
        <w:t>oceňování</w:t>
      </w:r>
      <w:r w:rsidR="00D0467E">
        <w:rPr>
          <w:rFonts w:ascii="Calibri" w:hAnsi="Calibri" w:cs="Arial"/>
          <w:color w:val="000000"/>
          <w:lang w:val="cs-CZ"/>
        </w:rPr>
        <w:t>m</w:t>
      </w:r>
      <w:r w:rsidR="00C23428">
        <w:rPr>
          <w:rFonts w:ascii="Calibri" w:hAnsi="Calibri" w:cs="Arial"/>
          <w:color w:val="000000"/>
          <w:lang w:val="cs-CZ"/>
        </w:rPr>
        <w:t xml:space="preserve"> všech druhů komerčních a rezidenčních </w:t>
      </w:r>
      <w:r w:rsidR="005D0BF0">
        <w:rPr>
          <w:rFonts w:ascii="Calibri" w:hAnsi="Calibri" w:cs="Arial"/>
          <w:color w:val="000000"/>
          <w:lang w:val="cs-CZ"/>
        </w:rPr>
        <w:t>nemovitostí</w:t>
      </w:r>
      <w:r w:rsidRPr="00EB5D15" w:rsidR="006D5962">
        <w:rPr>
          <w:rFonts w:ascii="Calibri" w:hAnsi="Calibri" w:cs="Arial"/>
          <w:color w:val="000000"/>
          <w:lang w:val="cs-CZ"/>
        </w:rPr>
        <w:t>.</w:t>
      </w:r>
    </w:p>
    <w:p xmlns:wp14="http://schemas.microsoft.com/office/word/2010/wordml" w:rsidRPr="00EB5D15" w:rsidR="00122DD2" w:rsidP="00122DD2" w:rsidRDefault="00122DD2" w14:paraId="41C8F396" wp14:textId="7777777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cs-CZ"/>
        </w:rPr>
      </w:pPr>
    </w:p>
    <w:p xmlns:wp14="http://schemas.microsoft.com/office/word/2010/wordml" w:rsidRPr="00EB5D15" w:rsidR="00122DD2" w:rsidP="00122DD2" w:rsidRDefault="00122DD2" w14:paraId="14302ADE" wp14:textId="77777777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lang w:val="cs-CZ"/>
        </w:rPr>
      </w:pPr>
      <w:r w:rsidRPr="00EB5D15">
        <w:rPr>
          <w:rFonts w:ascii="Calibri" w:hAnsi="Calibri" w:cs="Arial"/>
          <w:b/>
          <w:color w:val="000000"/>
          <w:lang w:val="cs-CZ"/>
        </w:rPr>
        <w:t xml:space="preserve">Pražský rezidenční trh: </w:t>
      </w:r>
      <w:r w:rsidRPr="00EB5D15" w:rsidR="006D5962">
        <w:rPr>
          <w:rFonts w:ascii="Calibri" w:hAnsi="Calibri" w:cs="Arial"/>
          <w:b/>
          <w:color w:val="000000"/>
          <w:lang w:val="cs-CZ"/>
        </w:rPr>
        <w:t>vlastnické bydlení se stává nedostižným snem</w:t>
      </w:r>
    </w:p>
    <w:p xmlns:wp14="http://schemas.microsoft.com/office/word/2010/wordml" w:rsidRPr="00EB5D15" w:rsidR="00122DD2" w:rsidP="006D5962" w:rsidRDefault="00102EF4" w14:paraId="46D2FF04" wp14:textId="77777777">
      <w:pPr>
        <w:jc w:val="both"/>
        <w:rPr>
          <w:rFonts w:ascii="Calibri" w:hAnsi="Calibri" w:cs="Arial"/>
          <w:color w:val="000000"/>
          <w:lang w:val="cs-CZ"/>
        </w:rPr>
      </w:pPr>
      <w:r>
        <w:rPr>
          <w:rFonts w:ascii="Calibri" w:hAnsi="Calibri" w:cs="Arial"/>
          <w:lang w:val="cs-CZ"/>
        </w:rPr>
        <w:t>Současný objem</w:t>
      </w:r>
      <w:r w:rsidRPr="006D5962" w:rsidR="006D5962">
        <w:rPr>
          <w:rFonts w:ascii="Calibri" w:hAnsi="Calibri" w:cs="Arial"/>
          <w:lang w:val="cs-CZ"/>
        </w:rPr>
        <w:t xml:space="preserve"> nové výstavby v Praze </w:t>
      </w:r>
      <w:r>
        <w:rPr>
          <w:rFonts w:ascii="Calibri" w:hAnsi="Calibri" w:cs="Arial"/>
          <w:lang w:val="cs-CZ"/>
        </w:rPr>
        <w:t>zdaleka není dostatečný</w:t>
      </w:r>
      <w:r w:rsidR="00DE4A5C">
        <w:rPr>
          <w:rFonts w:ascii="Calibri" w:hAnsi="Calibri" w:cs="Arial"/>
          <w:lang w:val="cs-CZ"/>
        </w:rPr>
        <w:t xml:space="preserve"> a silně pokulhává za poptávkou</w:t>
      </w:r>
      <w:r w:rsidRPr="006D5962" w:rsidR="006D5962">
        <w:rPr>
          <w:rFonts w:ascii="Calibri" w:hAnsi="Calibri" w:cs="Arial"/>
          <w:lang w:val="cs-CZ"/>
        </w:rPr>
        <w:t xml:space="preserve">. </w:t>
      </w:r>
      <w:r w:rsidR="006D5962">
        <w:rPr>
          <w:rFonts w:ascii="Calibri" w:hAnsi="Calibri" w:cs="Arial"/>
          <w:lang w:val="cs-CZ"/>
        </w:rPr>
        <w:t xml:space="preserve">Experti CBRE odhadují, </w:t>
      </w:r>
      <w:r w:rsidRPr="006D5962" w:rsidR="006D5962">
        <w:rPr>
          <w:rFonts w:ascii="Calibri" w:hAnsi="Calibri" w:cs="Arial"/>
          <w:lang w:val="cs-CZ"/>
        </w:rPr>
        <w:t xml:space="preserve">že v metropoli chybí </w:t>
      </w:r>
      <w:r w:rsidR="006D5962">
        <w:rPr>
          <w:rFonts w:ascii="Calibri" w:hAnsi="Calibri" w:cs="Arial"/>
          <w:lang w:val="cs-CZ"/>
        </w:rPr>
        <w:t>kolem 20 000 bytů</w:t>
      </w:r>
      <w:r w:rsidRPr="006D5962" w:rsidR="006D5962">
        <w:rPr>
          <w:rFonts w:ascii="Calibri" w:hAnsi="Calibri" w:cs="Arial"/>
          <w:lang w:val="cs-CZ"/>
        </w:rPr>
        <w:t xml:space="preserve"> a při současném tempu výstavby tento deficit do roku 2030 vzroste na </w:t>
      </w:r>
      <w:r w:rsidR="006D5962">
        <w:rPr>
          <w:rFonts w:ascii="Calibri" w:hAnsi="Calibri" w:cs="Arial"/>
          <w:lang w:val="cs-CZ"/>
        </w:rPr>
        <w:t>cca</w:t>
      </w:r>
      <w:r w:rsidRPr="006D5962" w:rsidR="006D5962">
        <w:rPr>
          <w:rFonts w:ascii="Calibri" w:hAnsi="Calibri" w:cs="Arial"/>
          <w:lang w:val="cs-CZ"/>
        </w:rPr>
        <w:t xml:space="preserve"> 100 000 bytů. Nedostatek nemovitostí </w:t>
      </w:r>
      <w:r w:rsidR="006D5962">
        <w:rPr>
          <w:rFonts w:ascii="Calibri" w:hAnsi="Calibri" w:cs="Arial"/>
          <w:lang w:val="cs-CZ"/>
        </w:rPr>
        <w:t xml:space="preserve">na trhu </w:t>
      </w:r>
      <w:r w:rsidRPr="006D5962" w:rsidR="006D5962">
        <w:rPr>
          <w:rFonts w:ascii="Calibri" w:hAnsi="Calibri" w:cs="Arial"/>
          <w:lang w:val="cs-CZ"/>
        </w:rPr>
        <w:t>t</w:t>
      </w:r>
      <w:r>
        <w:rPr>
          <w:rFonts w:ascii="Calibri" w:hAnsi="Calibri" w:cs="Arial"/>
          <w:lang w:val="cs-CZ"/>
        </w:rPr>
        <w:t xml:space="preserve">lačí jejich ceny nahoru, </w:t>
      </w:r>
      <w:r w:rsidR="005B3753">
        <w:rPr>
          <w:rFonts w:ascii="Calibri" w:hAnsi="Calibri" w:cs="Arial"/>
          <w:lang w:val="cs-CZ"/>
        </w:rPr>
        <w:t xml:space="preserve">a to </w:t>
      </w:r>
      <w:r>
        <w:rPr>
          <w:rFonts w:ascii="Calibri" w:hAnsi="Calibri" w:cs="Arial"/>
          <w:lang w:val="cs-CZ"/>
        </w:rPr>
        <w:t>navzdory pandemii</w:t>
      </w:r>
      <w:r w:rsidRPr="006D5962" w:rsidR="006D5962">
        <w:rPr>
          <w:rFonts w:ascii="Calibri" w:hAnsi="Calibri" w:cs="Arial"/>
          <w:lang w:val="cs-CZ"/>
        </w:rPr>
        <w:t xml:space="preserve">. </w:t>
      </w:r>
      <w:r w:rsidRPr="006D5962" w:rsidR="006D5962">
        <w:rPr>
          <w:rFonts w:ascii="Calibri" w:hAnsi="Calibri" w:cs="Arial"/>
          <w:color w:val="000000"/>
          <w:lang w:val="cs-CZ"/>
        </w:rPr>
        <w:t>Průměrná cena nových bytů v metropoli v</w:t>
      </w:r>
      <w:r w:rsidR="00C011DF">
        <w:rPr>
          <w:rFonts w:ascii="Calibri" w:hAnsi="Calibri" w:cs="Arial"/>
          <w:color w:val="000000"/>
          <w:lang w:val="cs-CZ"/>
        </w:rPr>
        <w:t> 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posledních letech rostla, až se v závěru roku 2020 vyšplhala na cca 106 tisíc </w:t>
      </w:r>
      <w:r w:rsidR="00713B15">
        <w:rPr>
          <w:rFonts w:ascii="Calibri" w:hAnsi="Calibri" w:cs="Arial"/>
          <w:color w:val="000000"/>
          <w:lang w:val="cs-CZ"/>
        </w:rPr>
        <w:t xml:space="preserve">Kč 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za metr čtvereční. Na nákup nového domova o </w:t>
      </w:r>
      <w:r w:rsidR="00CF508E">
        <w:rPr>
          <w:rFonts w:ascii="Calibri" w:hAnsi="Calibri" w:cs="Arial"/>
          <w:color w:val="000000"/>
          <w:lang w:val="cs-CZ"/>
        </w:rPr>
        <w:t>výměře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 90 m</w:t>
      </w:r>
      <w:r w:rsidRPr="006D5962" w:rsidR="006D5962">
        <w:rPr>
          <w:rFonts w:ascii="Calibri" w:hAnsi="Calibri" w:cs="Arial"/>
          <w:color w:val="000000"/>
          <w:vertAlign w:val="superscript"/>
          <w:lang w:val="cs-CZ"/>
        </w:rPr>
        <w:t>2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 </w:t>
      </w:r>
      <w:r w:rsidR="00713B15">
        <w:rPr>
          <w:rFonts w:ascii="Calibri" w:hAnsi="Calibri" w:cs="Arial"/>
          <w:color w:val="000000"/>
          <w:lang w:val="cs-CZ"/>
        </w:rPr>
        <w:t xml:space="preserve">tak 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průměrná česká domácnost </w:t>
      </w:r>
      <w:r w:rsidR="00713B15">
        <w:rPr>
          <w:rFonts w:ascii="Calibri" w:hAnsi="Calibri" w:cs="Arial"/>
          <w:color w:val="000000"/>
          <w:lang w:val="cs-CZ"/>
        </w:rPr>
        <w:t xml:space="preserve">potřebuje </w:t>
      </w:r>
      <w:r w:rsidRPr="006D5962" w:rsidR="006D5962">
        <w:rPr>
          <w:rFonts w:ascii="Calibri" w:hAnsi="Calibri" w:cs="Arial"/>
          <w:color w:val="000000"/>
          <w:lang w:val="cs-CZ"/>
        </w:rPr>
        <w:t>naspořit 14 čistých ročních p</w:t>
      </w:r>
      <w:r w:rsidR="00713B15">
        <w:rPr>
          <w:rFonts w:ascii="Calibri" w:hAnsi="Calibri" w:cs="Arial"/>
          <w:color w:val="000000"/>
          <w:lang w:val="cs-CZ"/>
        </w:rPr>
        <w:t>latů</w:t>
      </w:r>
      <w:r w:rsidR="003C4452">
        <w:rPr>
          <w:rFonts w:ascii="Calibri" w:hAnsi="Calibri" w:cs="Arial"/>
          <w:color w:val="000000"/>
          <w:lang w:val="cs-CZ"/>
        </w:rPr>
        <w:t xml:space="preserve"> (p</w:t>
      </w:r>
      <w:r w:rsidR="00713B15">
        <w:rPr>
          <w:rFonts w:ascii="Calibri" w:hAnsi="Calibri" w:cs="Arial"/>
          <w:color w:val="000000"/>
          <w:lang w:val="cs-CZ"/>
        </w:rPr>
        <w:t>ro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 srovnání</w:t>
      </w:r>
      <w:r w:rsidR="003C4452">
        <w:rPr>
          <w:rFonts w:ascii="Calibri" w:hAnsi="Calibri" w:cs="Arial"/>
          <w:color w:val="000000"/>
          <w:lang w:val="cs-CZ"/>
        </w:rPr>
        <w:t>: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 </w:t>
      </w:r>
      <w:r w:rsidRPr="006D5962" w:rsidR="003C4452">
        <w:rPr>
          <w:rFonts w:ascii="Calibri" w:hAnsi="Calibri" w:cs="Arial"/>
          <w:color w:val="000000"/>
          <w:lang w:val="cs-CZ"/>
        </w:rPr>
        <w:t>v hlavních městech Belgie, Dánska nebo Estonska</w:t>
      </w:r>
      <w:r w:rsidR="003C4452">
        <w:rPr>
          <w:rFonts w:ascii="Calibri" w:hAnsi="Calibri" w:cs="Arial"/>
          <w:color w:val="000000"/>
          <w:lang w:val="cs-CZ"/>
        </w:rPr>
        <w:t xml:space="preserve"> jsou to čisté úspory za 6 až 7 let)</w:t>
      </w:r>
      <w:r w:rsidRPr="006D5962" w:rsidR="006D5962">
        <w:rPr>
          <w:rFonts w:ascii="Calibri" w:hAnsi="Calibri" w:cs="Arial"/>
          <w:color w:val="000000"/>
          <w:lang w:val="cs-CZ"/>
        </w:rPr>
        <w:t xml:space="preserve">. </w:t>
      </w:r>
      <w:r w:rsidR="003C4452">
        <w:rPr>
          <w:rFonts w:ascii="Calibri" w:hAnsi="Calibri" w:cs="Arial"/>
          <w:lang w:val="cs-CZ"/>
        </w:rPr>
        <w:t>Dů</w:t>
      </w:r>
      <w:r w:rsidRPr="006D5962" w:rsidR="006D5962">
        <w:rPr>
          <w:rFonts w:ascii="Calibri" w:hAnsi="Calibri" w:cs="Arial"/>
          <w:lang w:val="cs-CZ"/>
        </w:rPr>
        <w:t>sledkem je, že vlastn</w:t>
      </w:r>
      <w:r w:rsidR="006D5962">
        <w:rPr>
          <w:rFonts w:ascii="Calibri" w:hAnsi="Calibri" w:cs="Arial"/>
          <w:lang w:val="cs-CZ"/>
        </w:rPr>
        <w:t xml:space="preserve">í bydlení </w:t>
      </w:r>
      <w:r w:rsidRPr="006D5962" w:rsidR="006D5962">
        <w:rPr>
          <w:rFonts w:ascii="Calibri" w:hAnsi="Calibri" w:cs="Arial"/>
          <w:lang w:val="cs-CZ"/>
        </w:rPr>
        <w:t xml:space="preserve">se pro </w:t>
      </w:r>
      <w:r w:rsidR="00713B15">
        <w:rPr>
          <w:rFonts w:ascii="Calibri" w:hAnsi="Calibri" w:cs="Arial"/>
          <w:lang w:val="cs-CZ"/>
        </w:rPr>
        <w:t>řadu</w:t>
      </w:r>
      <w:r w:rsidRPr="006D5962" w:rsidR="006D5962">
        <w:rPr>
          <w:rFonts w:ascii="Calibri" w:hAnsi="Calibri" w:cs="Arial"/>
          <w:lang w:val="cs-CZ"/>
        </w:rPr>
        <w:t xml:space="preserve"> lidí </w:t>
      </w:r>
      <w:r w:rsidR="00713B15">
        <w:rPr>
          <w:rFonts w:ascii="Calibri" w:hAnsi="Calibri" w:cs="Arial"/>
          <w:lang w:val="cs-CZ"/>
        </w:rPr>
        <w:t xml:space="preserve">stalo </w:t>
      </w:r>
      <w:r w:rsidRPr="006D5962" w:rsidR="006D5962">
        <w:rPr>
          <w:rFonts w:ascii="Calibri" w:hAnsi="Calibri" w:cs="Arial"/>
          <w:lang w:val="cs-CZ"/>
        </w:rPr>
        <w:t>nedostupn</w:t>
      </w:r>
      <w:r w:rsidR="00713B15">
        <w:rPr>
          <w:rFonts w:ascii="Calibri" w:hAnsi="Calibri" w:cs="Arial"/>
          <w:lang w:val="cs-CZ"/>
        </w:rPr>
        <w:t>é</w:t>
      </w:r>
      <w:r w:rsidRPr="006D5962" w:rsidR="006D5962">
        <w:rPr>
          <w:rFonts w:ascii="Calibri" w:hAnsi="Calibri" w:cs="Arial"/>
          <w:lang w:val="cs-CZ"/>
        </w:rPr>
        <w:t xml:space="preserve"> a </w:t>
      </w:r>
      <w:r w:rsidR="00713B15">
        <w:rPr>
          <w:rFonts w:ascii="Calibri" w:hAnsi="Calibri" w:cs="Arial"/>
          <w:lang w:val="cs-CZ"/>
        </w:rPr>
        <w:t xml:space="preserve">raději </w:t>
      </w:r>
      <w:r w:rsidR="00CF508E">
        <w:rPr>
          <w:rFonts w:ascii="Calibri" w:hAnsi="Calibri" w:cs="Arial"/>
          <w:lang w:val="cs-CZ"/>
        </w:rPr>
        <w:t>volí</w:t>
      </w:r>
      <w:r w:rsidR="006D5962">
        <w:rPr>
          <w:rFonts w:ascii="Calibri" w:hAnsi="Calibri" w:cs="Arial"/>
          <w:lang w:val="cs-CZ"/>
        </w:rPr>
        <w:t xml:space="preserve"> pronájem.</w:t>
      </w:r>
      <w:r w:rsidRPr="006D5962" w:rsidR="006D5962">
        <w:rPr>
          <w:rFonts w:ascii="Calibri" w:hAnsi="Calibri" w:cs="Arial"/>
          <w:lang w:val="cs-CZ"/>
        </w:rPr>
        <w:t xml:space="preserve"> </w:t>
      </w:r>
      <w:r w:rsidR="003C4452">
        <w:rPr>
          <w:rFonts w:ascii="Calibri" w:hAnsi="Calibri" w:cs="Arial"/>
          <w:lang w:val="cs-CZ"/>
        </w:rPr>
        <w:t>Plocha n</w:t>
      </w:r>
      <w:r w:rsidRPr="00EB5D15" w:rsidR="00122DD2">
        <w:rPr>
          <w:rFonts w:ascii="Calibri" w:hAnsi="Calibri" w:cs="Arial"/>
          <w:color w:val="000000"/>
          <w:lang w:val="cs-CZ"/>
        </w:rPr>
        <w:t>ejvyhledávanější</w:t>
      </w:r>
      <w:r w:rsidR="003C4452">
        <w:rPr>
          <w:rFonts w:ascii="Calibri" w:hAnsi="Calibri" w:cs="Arial"/>
          <w:color w:val="000000"/>
          <w:lang w:val="cs-CZ"/>
        </w:rPr>
        <w:t>ch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 nájemní</w:t>
      </w:r>
      <w:r w:rsidR="003C4452">
        <w:rPr>
          <w:rFonts w:ascii="Calibri" w:hAnsi="Calibri" w:cs="Arial"/>
          <w:color w:val="000000"/>
          <w:lang w:val="cs-CZ"/>
        </w:rPr>
        <w:t>ch bytů se pohybuje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 v rozmezí od 60</w:t>
      </w:r>
      <w:r w:rsidRPr="00EB5D15" w:rsidR="00CF508E">
        <w:rPr>
          <w:rFonts w:ascii="Calibri" w:hAnsi="Calibri" w:cs="Arial"/>
          <w:color w:val="000000"/>
          <w:lang w:val="cs-CZ"/>
        </w:rPr>
        <w:t xml:space="preserve"> do 80 metrů čtverečních. P</w:t>
      </w:r>
      <w:r w:rsidRPr="00EB5D15" w:rsidR="00122DD2">
        <w:rPr>
          <w:rFonts w:ascii="Calibri" w:hAnsi="Calibri" w:cs="Arial"/>
          <w:color w:val="000000"/>
          <w:lang w:val="cs-CZ"/>
        </w:rPr>
        <w:t>optávku tvoří pře</w:t>
      </w:r>
      <w:r w:rsidRPr="00EB5D15" w:rsidR="006D5962">
        <w:rPr>
          <w:rFonts w:ascii="Calibri" w:hAnsi="Calibri" w:cs="Arial"/>
          <w:color w:val="000000"/>
          <w:lang w:val="cs-CZ"/>
        </w:rPr>
        <w:t xml:space="preserve">devším </w:t>
      </w:r>
      <w:proofErr w:type="spellStart"/>
      <w:r w:rsidRPr="00EB5D15" w:rsidR="006D5962">
        <w:rPr>
          <w:rFonts w:ascii="Calibri" w:hAnsi="Calibri" w:cs="Arial"/>
          <w:color w:val="000000"/>
          <w:lang w:val="cs-CZ"/>
        </w:rPr>
        <w:t>singles</w:t>
      </w:r>
      <w:proofErr w:type="spellEnd"/>
      <w:r w:rsidRPr="00EB5D15" w:rsidR="006D5962">
        <w:rPr>
          <w:rFonts w:ascii="Calibri" w:hAnsi="Calibri" w:cs="Arial"/>
          <w:color w:val="000000"/>
          <w:lang w:val="cs-CZ"/>
        </w:rPr>
        <w:t xml:space="preserve"> </w:t>
      </w:r>
      <w:r w:rsidRPr="00EB5D15" w:rsidR="00CF508E">
        <w:rPr>
          <w:rFonts w:ascii="Calibri" w:hAnsi="Calibri" w:cs="Arial"/>
          <w:color w:val="000000"/>
          <w:lang w:val="cs-CZ"/>
        </w:rPr>
        <w:t>či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 dvojice – ať už se jedná o přátele, kteří se rozhodnou pro spolubydlení, anebo životní partnery. Většina bytů </w:t>
      </w:r>
      <w:r w:rsidRPr="00EB5D15" w:rsidR="006D5962">
        <w:rPr>
          <w:rFonts w:ascii="Calibri" w:hAnsi="Calibri" w:cs="Arial"/>
          <w:color w:val="000000"/>
          <w:lang w:val="cs-CZ"/>
        </w:rPr>
        <w:t xml:space="preserve">na českém trhu je prozatím 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poskytována </w:t>
      </w:r>
      <w:r w:rsidRPr="00EB5D15" w:rsidR="00866FD9">
        <w:rPr>
          <w:rFonts w:ascii="Calibri" w:hAnsi="Calibri" w:cs="Arial"/>
          <w:color w:val="000000"/>
          <w:lang w:val="cs-CZ"/>
        </w:rPr>
        <w:t>soukromými</w:t>
      </w:r>
      <w:r w:rsidRPr="00EB5D15" w:rsidR="00122DD2">
        <w:rPr>
          <w:rFonts w:ascii="Calibri" w:hAnsi="Calibri" w:cs="Arial"/>
          <w:color w:val="000000"/>
          <w:lang w:val="cs-CZ"/>
        </w:rPr>
        <w:t xml:space="preserve"> pronajímateli a průměrný roční nájem se pohybuje kolem 3 560 Kč za</w:t>
      </w:r>
      <w:r w:rsidR="005B3753">
        <w:rPr>
          <w:rFonts w:ascii="Calibri" w:hAnsi="Calibri" w:cs="Arial"/>
          <w:color w:val="000000"/>
          <w:lang w:val="cs-CZ"/>
        </w:rPr>
        <w:t> </w:t>
      </w:r>
      <w:r w:rsidRPr="00EB5D15" w:rsidR="00122DD2">
        <w:rPr>
          <w:rFonts w:ascii="Calibri" w:hAnsi="Calibri" w:cs="Arial"/>
          <w:color w:val="000000"/>
          <w:lang w:val="cs-CZ"/>
        </w:rPr>
        <w:t>metr čtvereční.</w:t>
      </w:r>
    </w:p>
    <w:p xmlns:wp14="http://schemas.microsoft.com/office/word/2010/wordml" w:rsidRPr="00EB5D15" w:rsidR="00122DD2" w:rsidP="00122DD2" w:rsidRDefault="00122DD2" w14:paraId="72A3D3EC" wp14:textId="77777777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cs-CZ"/>
        </w:rPr>
      </w:pPr>
    </w:p>
    <w:p xmlns:wp14="http://schemas.microsoft.com/office/word/2010/wordml" w:rsidRPr="00EB5D15" w:rsidR="00122DD2" w:rsidP="00122DD2" w:rsidRDefault="000D2766" w14:paraId="7B4D4C26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b/>
          <w:iCs/>
          <w:lang w:val="cs-CZ"/>
        </w:rPr>
      </w:pPr>
      <w:r w:rsidRPr="00EB5D15">
        <w:rPr>
          <w:rFonts w:ascii="Calibri" w:hAnsi="Calibri" w:eastAsia="ArnhemPro-BlondItalic" w:cs="Arial"/>
          <w:b/>
          <w:iCs/>
          <w:lang w:val="cs-CZ"/>
        </w:rPr>
        <w:t xml:space="preserve">Tabulka: Jednotlivé evropské trhy se postupně vyvíjejí </w:t>
      </w:r>
      <w:r w:rsidR="003C4452">
        <w:rPr>
          <w:rFonts w:ascii="Calibri" w:hAnsi="Calibri" w:eastAsia="ArnhemPro-BlondItalic" w:cs="Arial"/>
          <w:b/>
          <w:iCs/>
          <w:lang w:val="cs-CZ"/>
        </w:rPr>
        <w:t>a situace se liší stát od státu</w:t>
      </w:r>
    </w:p>
    <w:p xmlns:wp14="http://schemas.microsoft.com/office/word/2010/wordml" w:rsidRPr="00EB5D15" w:rsidR="00122DD2" w:rsidP="00122DD2" w:rsidRDefault="00122DD2" w14:paraId="0D0B940D" wp14:textId="77777777">
      <w:pPr>
        <w:autoSpaceDE w:val="0"/>
        <w:autoSpaceDN w:val="0"/>
        <w:adjustRightInd w:val="0"/>
        <w:jc w:val="both"/>
        <w:rPr>
          <w:rFonts w:ascii="Calibri" w:hAnsi="Calibri" w:eastAsia="ArnhemPro-BlondItalic" w:cs="Arial"/>
          <w:iCs/>
          <w:lang w:val="cs-CZ"/>
        </w:rPr>
      </w:pP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89"/>
        <w:gridCol w:w="1304"/>
        <w:gridCol w:w="1842"/>
        <w:gridCol w:w="4508"/>
      </w:tblGrid>
      <w:tr xmlns:wp14="http://schemas.microsoft.com/office/word/2010/wordml" w:rsidRPr="00EB5D15" w:rsidR="00122DD2" w:rsidTr="005B3753" w14:paraId="5276E77B" wp14:textId="77777777">
        <w:trPr>
          <w:trHeight w:val="1134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24C1FCE1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Země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5AF513C1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Aktuální dostupnost nájemního bydlení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222D5EE3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Podíl nájemního bydlení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17356AE9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Podíl nájemního bydlení na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 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celkových investicích v roce 2020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2FBE0B52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Nájemní trh z pohledu struktury vlastníků</w:t>
            </w:r>
          </w:p>
        </w:tc>
      </w:tr>
      <w:tr xmlns:wp14="http://schemas.microsoft.com/office/word/2010/wordml" w:rsidRPr="00EB5D15" w:rsidR="00122DD2" w:rsidTr="005B3753" w14:paraId="46D56320" wp14:textId="77777777">
        <w:trPr>
          <w:trHeight w:val="737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Pr="00EB5D15" w:rsidR="00122DD2" w:rsidP="00EB5D15" w:rsidRDefault="00122DD2" w14:paraId="2AE5DAF6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Vyspělé nájemní trhy</w:t>
            </w:r>
          </w:p>
        </w:tc>
      </w:tr>
      <w:tr xmlns:wp14="http://schemas.microsoft.com/office/word/2010/wordml" w:rsidRPr="00EB5D15" w:rsidR="00122DD2" w:rsidTr="005B3753" w14:paraId="5A2EBD84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03CAE953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Dánsko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27586C4B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vysoká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6B1AFB8E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19 %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172C3BCC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51 %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270EA7F2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Většina nemovitostí je vlastněna a</w:t>
            </w:r>
            <w:r w:rsidRPr="00EB5D15" w:rsidR="00713B15">
              <w:rPr>
                <w:rFonts w:ascii="Calibri" w:hAnsi="Calibri" w:eastAsia="ArnhemPro-BlondItalic" w:cs="Arial"/>
                <w:iCs/>
                <w:lang w:val="cs-CZ"/>
              </w:rPr>
              <w:t> </w:t>
            </w:r>
            <w:proofErr w:type="spellStart"/>
            <w:r w:rsidR="00C31CA6">
              <w:rPr>
                <w:rFonts w:ascii="Calibri" w:hAnsi="Calibri" w:eastAsia="ArnhemPro-BlondItalic" w:cs="Arial"/>
                <w:iCs/>
                <w:lang w:val="cs-CZ"/>
              </w:rPr>
              <w:t>provozová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ná</w:t>
            </w:r>
            <w:proofErr w:type="spellEnd"/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 profesionálními institucemi. Aktivní jsou i menší rodinné firmy.</w:t>
            </w:r>
          </w:p>
        </w:tc>
      </w:tr>
      <w:tr xmlns:wp14="http://schemas.microsoft.com/office/word/2010/wordml" w:rsidRPr="00EB5D15" w:rsidR="00122DD2" w:rsidTr="005B3753" w14:paraId="35EDC149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65AF9AC1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Finsko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64357756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vysoká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1E910E12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35 %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0A85F300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18 %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61543585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Většina nemovitostí je ve vlastnictví obcí (42</w:t>
            </w:r>
            <w:r w:rsidRPr="00EB5D15" w:rsidR="00713B15">
              <w:rPr>
                <w:rFonts w:ascii="Calibri" w:hAnsi="Calibri" w:eastAsia="ArnhemPro-BlondItalic" w:cs="Arial"/>
                <w:iCs/>
                <w:lang w:val="cs-CZ"/>
              </w:rPr>
              <w:t> 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%) a soukromých pronajímatelů (36 %). Profesionální investoři disponují 22 %.</w:t>
            </w:r>
          </w:p>
        </w:tc>
      </w:tr>
      <w:tr xmlns:wp14="http://schemas.microsoft.com/office/word/2010/wordml" w:rsidRPr="00EB5D15" w:rsidR="00122DD2" w:rsidTr="005B3753" w14:paraId="38DD0D40" wp14:textId="77777777">
        <w:trPr>
          <w:trHeight w:val="383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71BD125D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Německo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34BFF9EA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vysoká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712B773D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54 %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081EC9C3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20 %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C31CA6" w:rsidRDefault="00122DD2" w14:paraId="71E14D2A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Většinu nemovitostí vlastní soukromí pronajímatelé, 20 % disponují veřejné </w:t>
            </w:r>
            <w:r w:rsidR="00C31CA6">
              <w:rPr>
                <w:rFonts w:ascii="Calibri" w:hAnsi="Calibri" w:eastAsia="ArnhemPro-BlondItalic" w:cs="Arial"/>
                <w:iCs/>
                <w:lang w:val="cs-CZ"/>
              </w:rPr>
              <w:t xml:space="preserve">instituce 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a 12 % soukromé společnosti. </w:t>
            </w:r>
          </w:p>
        </w:tc>
      </w:tr>
      <w:tr xmlns:wp14="http://schemas.microsoft.com/office/word/2010/wordml" w:rsidRPr="00EB5D15" w:rsidR="00122DD2" w:rsidTr="005B3753" w14:paraId="6307D285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31841C0E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Nizozemsko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0C681CF9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vysoká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44371500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43 %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71AD4DE1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35 %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242D0E08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57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 xml:space="preserve"> 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% nemovitostí vlastní bytové podniky, zbytek soukromí a institucionální investoři.</w:t>
            </w:r>
          </w:p>
        </w:tc>
      </w:tr>
      <w:tr xmlns:wp14="http://schemas.microsoft.com/office/word/2010/wordml" w:rsidRPr="00EB5D15" w:rsidR="00122DD2" w:rsidTr="005B3753" w14:paraId="2C99A112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245C9D59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Rakousko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307BAD95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4E4EAF02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34 %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3B6A74CD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30 %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5DB979D3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Většinu nemovitostí vlastní soukromé osoby, přibližně čtvrtinu drží družstva.</w:t>
            </w:r>
          </w:p>
        </w:tc>
      </w:tr>
      <w:tr xmlns:wp14="http://schemas.microsoft.com/office/word/2010/wordml" w:rsidRPr="00EB5D15" w:rsidR="00122DD2" w:rsidTr="005B3753" w14:paraId="7ED830C4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76A0CD3E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Švédsko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3A872246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vysoká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2338675C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27 %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37E6BA70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30 %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2BDC03CC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Většina nemovitostí je vlastněna a</w:t>
            </w:r>
            <w:r w:rsidRPr="00EB5D15" w:rsidR="00713B15">
              <w:rPr>
                <w:rFonts w:ascii="Calibri" w:hAnsi="Calibri" w:eastAsia="ArnhemPro-BlondItalic" w:cs="Arial"/>
                <w:iCs/>
                <w:lang w:val="cs-CZ"/>
              </w:rPr>
              <w:t> 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provozová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a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 profesionálními institucemi. Aktivní jsou i menší rodinné firmy.</w:t>
            </w:r>
          </w:p>
        </w:tc>
      </w:tr>
      <w:tr xmlns:wp14="http://schemas.microsoft.com/office/word/2010/wordml" w:rsidRPr="00EB5D15" w:rsidR="00122DD2" w:rsidTr="005B3753" w14:paraId="18A15FC5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0DD455A5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Švýcarsko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05A0D1AF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vysoká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7AF2BDAD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58 %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69E6B82C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60 %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364D5A52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47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 xml:space="preserve"> 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% 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nemovitostí je vlastněno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 soukromými pronajímateli, 41 % institucionálními investory a 12 % 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patří veřejnému sektorů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/bytovým družstv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ům</w:t>
            </w:r>
          </w:p>
        </w:tc>
      </w:tr>
      <w:tr xmlns:wp14="http://schemas.microsoft.com/office/word/2010/wordml" w:rsidRPr="00EB5D15" w:rsidR="00122DD2" w:rsidTr="005B3753" w14:paraId="1829CB40" wp14:textId="77777777">
        <w:trPr>
          <w:trHeight w:val="737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Pr="00EB5D15" w:rsidR="00122DD2" w:rsidP="00EB5D15" w:rsidRDefault="00122DD2" w14:paraId="51E36A9F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Trhy</w:t>
            </w:r>
            <w:r w:rsidR="00C31CA6">
              <w:rPr>
                <w:rFonts w:ascii="Calibri" w:hAnsi="Calibri" w:eastAsia="ArnhemPro-BlondItalic" w:cs="Arial"/>
                <w:iCs/>
                <w:lang w:val="cs-CZ"/>
              </w:rPr>
              <w:t>, kde je nájemní bydlení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 na vzestupu</w:t>
            </w:r>
          </w:p>
        </w:tc>
      </w:tr>
      <w:tr xmlns:wp14="http://schemas.microsoft.com/office/word/2010/wordml" w:rsidRPr="00EB5D15" w:rsidR="00122DD2" w:rsidTr="005B3753" w14:paraId="154D8F2B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7479E5F2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Česká republika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33373DB9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1F24067B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20 %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5A13D4C2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49 %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5B15D5D0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Trhu dominují soukromí pronajímatelé.</w:t>
            </w:r>
          </w:p>
        </w:tc>
      </w:tr>
      <w:tr xmlns:wp14="http://schemas.microsoft.com/office/word/2010/wordml" w:rsidRPr="00EB5D15" w:rsidR="00122DD2" w:rsidTr="005B3753" w14:paraId="2D8C131A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645DF46B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Francie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58F61606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68BF2F20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36 %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02D1A0E8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2%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C31CA6" w14:paraId="4D665A0E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>
              <w:rPr>
                <w:rFonts w:ascii="Calibri" w:hAnsi="Calibri" w:eastAsia="ArnhemPro-BlondItalic" w:cs="Arial"/>
                <w:iCs/>
                <w:lang w:val="cs-CZ"/>
              </w:rPr>
              <w:t>Jen</w:t>
            </w:r>
            <w:r w:rsidRPr="00EB5D15" w:rsidR="00122DD2">
              <w:rPr>
                <w:rFonts w:ascii="Calibri" w:hAnsi="Calibri" w:eastAsia="ArnhemPro-BlondItalic" w:cs="Arial"/>
                <w:iCs/>
                <w:lang w:val="cs-CZ"/>
              </w:rPr>
              <w:t xml:space="preserve"> 2 % nemovitostí vlastní institucionální investoři.</w:t>
            </w:r>
          </w:p>
        </w:tc>
      </w:tr>
      <w:tr xmlns:wp14="http://schemas.microsoft.com/office/word/2010/wordml" w:rsidRPr="00EB5D15" w:rsidR="00122DD2" w:rsidTr="005B3753" w14:paraId="5A04E08C" wp14:textId="77777777">
        <w:trPr>
          <w:trHeight w:val="383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6C69B8BC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Norsko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38976D5D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22D4552B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19 %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0B1F733C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4 %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5B3753" w:rsidRDefault="00122DD2" w14:paraId="73E5EB5D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Většinu trhu ovládají soukromí pronajímatelé, kteří 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 xml:space="preserve">nabízejí k pronájmu </w:t>
            </w:r>
            <w:r w:rsidR="00C31CA6">
              <w:rPr>
                <w:rFonts w:ascii="Calibri" w:hAnsi="Calibri" w:eastAsia="ArnhemPro-BlondItalic" w:cs="Arial"/>
                <w:iCs/>
                <w:lang w:val="cs-CZ"/>
              </w:rPr>
              <w:t>tzv.</w:t>
            </w:r>
            <w:r w:rsidR="005B3753">
              <w:rPr>
                <w:rFonts w:ascii="Calibri" w:hAnsi="Calibri" w:eastAsia="ArnhemPro-BlondItalic" w:cs="Arial"/>
                <w:iCs/>
                <w:lang w:val="cs-CZ"/>
              </w:rPr>
              <w:t> </w:t>
            </w:r>
            <w:r w:rsidR="00C31CA6">
              <w:rPr>
                <w:rFonts w:ascii="Calibri" w:hAnsi="Calibri" w:eastAsia="ArnhemPro-BlondItalic" w:cs="Arial"/>
                <w:iCs/>
                <w:lang w:val="cs-CZ"/>
              </w:rPr>
              <w:t>druhé – rekreační bydlení</w:t>
            </w:r>
            <w:r w:rsidRPr="00EB5D15">
              <w:rPr>
                <w:rStyle w:val="Odkaznakoment"/>
                <w:rFonts w:ascii="Calibri" w:hAnsi="Calibri" w:eastAsia="Calibri"/>
                <w:sz w:val="24"/>
                <w:szCs w:val="24"/>
                <w:lang w:val="cs-CZ"/>
              </w:rPr>
              <w:t>.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 xml:space="preserve"> Ve velkých městech roste podíl profesionálních investorů.</w:t>
            </w:r>
          </w:p>
        </w:tc>
      </w:tr>
      <w:tr xmlns:wp14="http://schemas.microsoft.com/office/word/2010/wordml" w:rsidRPr="00EB5D15" w:rsidR="00122DD2" w:rsidTr="005B3753" w14:paraId="50385E8C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77537060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Polsko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2C6EF508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08A26B50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4 %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6176F9B1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1 %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490D2C98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Většinu nemovitostí vlastní soukromí pronajímatelé. Méně než 1 % provozují institucionální investoři.</w:t>
            </w:r>
          </w:p>
        </w:tc>
      </w:tr>
      <w:tr xmlns:wp14="http://schemas.microsoft.com/office/word/2010/wordml" w:rsidRPr="00EB5D15" w:rsidR="00122DD2" w:rsidTr="005B3753" w14:paraId="32E2C3D2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29B9B720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Španělsko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10054D32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5BFBE645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15 %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1B7AC926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18 %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6224D13A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Pouze 5 % nemovitostí vlastní institucionální investoři, zbylých 95 % soukromí pronajímatelé.</w:t>
            </w:r>
          </w:p>
        </w:tc>
      </w:tr>
      <w:tr xmlns:wp14="http://schemas.microsoft.com/office/word/2010/wordml" w:rsidRPr="00EB5D15" w:rsidR="00122DD2" w:rsidTr="005B3753" w14:paraId="35F5C1B2" wp14:textId="77777777">
        <w:trPr>
          <w:trHeight w:val="737"/>
        </w:trPr>
        <w:tc>
          <w:tcPr>
            <w:tcW w:w="1413" w:type="dxa"/>
            <w:shd w:val="clear" w:color="auto" w:fill="auto"/>
            <w:vAlign w:val="center"/>
          </w:tcPr>
          <w:p w:rsidRPr="00EB5D15" w:rsidR="00122DD2" w:rsidP="00EB5D15" w:rsidRDefault="00122DD2" w14:paraId="0336583B" wp14:textId="77777777">
            <w:pPr>
              <w:autoSpaceDE w:val="0"/>
              <w:autoSpaceDN w:val="0"/>
              <w:adjustRightInd w:val="0"/>
              <w:jc w:val="both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Velká Británie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Pr="00EB5D15" w:rsidR="00122DD2" w:rsidP="00EB5D15" w:rsidRDefault="00122DD2" w14:paraId="56F7DF21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nízká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Pr="00EB5D15" w:rsidR="00122DD2" w:rsidP="00EB5D15" w:rsidRDefault="00122DD2" w14:paraId="76EB713B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20 %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Pr="00EB5D15" w:rsidR="00122DD2" w:rsidP="00EB5D15" w:rsidRDefault="00122DD2" w14:paraId="622A53EC" wp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8 %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Pr="00EB5D15" w:rsidR="00122DD2" w:rsidP="00EB5D15" w:rsidRDefault="00122DD2" w14:paraId="32C6965A" wp14:textId="77777777">
            <w:pPr>
              <w:autoSpaceDE w:val="0"/>
              <w:autoSpaceDN w:val="0"/>
              <w:adjustRightInd w:val="0"/>
              <w:rPr>
                <w:rFonts w:ascii="Calibri" w:hAnsi="Calibri" w:eastAsia="ArnhemPro-BlondItalic" w:cs="Arial"/>
                <w:iCs/>
                <w:lang w:val="cs-CZ"/>
              </w:rPr>
            </w:pP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Tradičně nájemní bydlení poskytují hlavně soukromí pronajímatelé, ale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 xml:space="preserve"> aktuálně začínají být aktivní i</w:t>
            </w:r>
            <w:r w:rsidRPr="00EB5D15">
              <w:rPr>
                <w:rFonts w:ascii="Calibri" w:hAnsi="Calibri" w:eastAsia="ArnhemPro-BlondItalic" w:cs="Arial"/>
                <w:iCs/>
                <w:lang w:val="cs-CZ"/>
              </w:rPr>
              <w:t>nstitucionální investoři</w:t>
            </w:r>
            <w:r w:rsidRPr="00EB5D15" w:rsidR="00C011DF">
              <w:rPr>
                <w:rFonts w:ascii="Calibri" w:hAnsi="Calibri" w:eastAsia="ArnhemPro-BlondItalic" w:cs="Arial"/>
                <w:iCs/>
                <w:lang w:val="cs-CZ"/>
              </w:rPr>
              <w:t>.</w:t>
            </w:r>
          </w:p>
        </w:tc>
      </w:tr>
    </w:tbl>
    <w:p xmlns:wp14="http://schemas.microsoft.com/office/word/2010/wordml" w:rsidRPr="00EB5D15" w:rsidR="00122DD2" w:rsidP="00122DD2" w:rsidRDefault="00122DD2" w14:paraId="721426B6" wp14:textId="77777777">
      <w:pPr>
        <w:spacing w:before="160"/>
        <w:jc w:val="both"/>
        <w:rPr>
          <w:rFonts w:ascii="Calibri" w:hAnsi="Calibri" w:cs="Arial"/>
          <w:lang w:val="cs-CZ"/>
        </w:rPr>
      </w:pPr>
      <w:r w:rsidRPr="00EB5D15">
        <w:rPr>
          <w:rFonts w:ascii="Calibri" w:hAnsi="Calibri" w:cs="Arial"/>
          <w:lang w:val="cs-CZ"/>
        </w:rPr>
        <w:t xml:space="preserve">Zdroj: CBRE </w:t>
      </w:r>
      <w:proofErr w:type="spellStart"/>
      <w:r w:rsidRPr="00EB5D15">
        <w:rPr>
          <w:rFonts w:ascii="Calibri" w:hAnsi="Calibri" w:cs="Arial"/>
          <w:lang w:val="cs-CZ"/>
        </w:rPr>
        <w:t>Research</w:t>
      </w:r>
      <w:proofErr w:type="spellEnd"/>
      <w:r w:rsidRPr="00EB5D15">
        <w:rPr>
          <w:rFonts w:ascii="Calibri" w:hAnsi="Calibri" w:cs="Arial"/>
          <w:lang w:val="cs-CZ"/>
        </w:rPr>
        <w:t>, 4/2021</w:t>
      </w:r>
    </w:p>
    <w:p xmlns:wp14="http://schemas.microsoft.com/office/word/2010/wordml" w:rsidRPr="00F11866" w:rsidR="00D970E4" w:rsidP="00F71B58" w:rsidRDefault="00D970E4" w14:paraId="0E27B00A" wp14:textId="77777777">
      <w:pPr>
        <w:jc w:val="both"/>
        <w:rPr>
          <w:rFonts w:ascii="Calibri" w:hAnsi="Calibri" w:cs="Calibri"/>
          <w:bCs/>
          <w:lang w:val="cs-CZ"/>
        </w:rPr>
      </w:pPr>
    </w:p>
    <w:bookmarkEnd w:id="0"/>
    <w:p xmlns:wp14="http://schemas.microsoft.com/office/word/2010/wordml" w:rsidRPr="00F11866" w:rsidR="00F422F6" w:rsidP="00F422F6" w:rsidRDefault="00E86BD7" w14:paraId="1E0F0065" wp14:textId="77777777">
      <w:pPr>
        <w:jc w:val="both"/>
        <w:rPr>
          <w:rFonts w:ascii="Calibri" w:hAnsi="Calibri" w:eastAsia="Calibri" w:cs="Calibri"/>
          <w:b/>
          <w:bCs/>
          <w:sz w:val="22"/>
          <w:szCs w:val="22"/>
          <w:lang w:val="cs-CZ"/>
        </w:rPr>
      </w:pPr>
      <w:r>
        <w:rPr>
          <w:rFonts w:ascii="Calibri" w:hAnsi="Calibri" w:eastAsia="Calibri" w:cs="Calibri"/>
          <w:b/>
          <w:bCs/>
          <w:sz w:val="22"/>
          <w:szCs w:val="22"/>
          <w:lang w:val="cs-CZ"/>
        </w:rPr>
        <w:br/>
      </w:r>
      <w:r w:rsidRPr="00F11866" w:rsidR="00F422F6">
        <w:rPr>
          <w:rFonts w:ascii="Calibri" w:hAnsi="Calibri" w:eastAsia="Calibri" w:cs="Calibri"/>
          <w:b/>
          <w:bCs/>
          <w:sz w:val="22"/>
          <w:szCs w:val="22"/>
          <w:lang w:val="cs-CZ"/>
        </w:rPr>
        <w:t>Kontakt:</w:t>
      </w:r>
      <w:r w:rsidRPr="00F11866" w:rsidR="00F422F6">
        <w:rPr>
          <w:rFonts w:ascii="Calibri" w:hAnsi="Calibri" w:eastAsia="Calibri" w:cs="Calibri"/>
          <w:b/>
          <w:bCs/>
          <w:sz w:val="22"/>
          <w:szCs w:val="22"/>
          <w:lang w:val="cs-CZ"/>
        </w:rPr>
        <w:br/>
      </w:r>
    </w:p>
    <w:p xmlns:wp14="http://schemas.microsoft.com/office/word/2010/wordml" w:rsidRPr="00F11866" w:rsidR="00F422F6" w:rsidP="00F422F6" w:rsidRDefault="00F422F6" w14:paraId="04676662" wp14:textId="77777777">
      <w:pPr>
        <w:shd w:val="clear" w:color="auto" w:fill="FFFFFF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 w:rsidRPr="00F11866">
        <w:rPr>
          <w:rFonts w:ascii="Calibri" w:hAnsi="Calibri" w:cs="Calibri"/>
          <w:b/>
          <w:bCs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>Denisa Kolaříková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>Kamila Čadková</w:t>
      </w:r>
      <w:r w:rsidRPr="00F11866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 xml:space="preserve"> Manager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br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>: +420 731 613 606</w:t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ab/>
      </w:r>
      <w:proofErr w:type="spellStart"/>
      <w:r w:rsidRPr="00F11866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00F11866">
        <w:rPr>
          <w:rFonts w:ascii="Calibri" w:hAnsi="Calibri" w:cs="Calibri"/>
          <w:sz w:val="22"/>
          <w:szCs w:val="22"/>
          <w:lang w:val="cs-CZ"/>
        </w:rPr>
        <w:t>: +420 731 613 609</w:t>
      </w:r>
      <w:r w:rsidRPr="00F11866">
        <w:rPr>
          <w:rFonts w:ascii="Calibri" w:hAnsi="Calibri" w:cs="Calibri"/>
          <w:sz w:val="22"/>
          <w:szCs w:val="22"/>
          <w:lang w:val="cs-CZ"/>
        </w:rPr>
        <w:br/>
      </w:r>
      <w:r w:rsidRPr="00F11866">
        <w:rPr>
          <w:rFonts w:ascii="Calibri" w:hAnsi="Calibri" w:cs="Calibri"/>
          <w:sz w:val="22"/>
          <w:szCs w:val="22"/>
          <w:lang w:val="cs-CZ"/>
        </w:rPr>
        <w:t xml:space="preserve">email: </w:t>
      </w:r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color w:val="0000FF"/>
          <w:sz w:val="22"/>
          <w:szCs w:val="22"/>
          <w:lang w:val="cs-CZ"/>
        </w:rPr>
        <w:tab/>
      </w:r>
      <w:r w:rsidRPr="00F11866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w:history="1" r:id="rId8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</w:hyperlink>
      <w:r w:rsidRPr="00F11866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br/>
      </w:r>
      <w:hyperlink w:history="1" r:id="rId9">
        <w:r w:rsidRPr="00F11866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xmlns:wp14="http://schemas.microsoft.com/office/word/2010/wordml" w:rsidRPr="00F11866" w:rsidR="00F422F6" w:rsidP="00F422F6" w:rsidRDefault="00F422F6" w14:paraId="60061E4C" wp14:textId="77777777">
      <w:pPr>
        <w:jc w:val="both"/>
        <w:rPr>
          <w:rFonts w:ascii="Calibri" w:hAnsi="Calibri" w:eastAsia="Calibri" w:cs="Calibri"/>
          <w:bCs/>
          <w:sz w:val="22"/>
          <w:szCs w:val="22"/>
          <w:lang w:val="cs-CZ"/>
        </w:rPr>
      </w:pPr>
    </w:p>
    <w:p xmlns:wp14="http://schemas.microsoft.com/office/word/2010/wordml" w:rsidRPr="00F11866" w:rsidR="00F422F6" w:rsidP="00F422F6" w:rsidRDefault="00F422F6" w14:paraId="1357962E" wp14:textId="77777777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CBRE</w:t>
      </w:r>
      <w:r w:rsidRPr="00F11866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Renata Mrázová, Senior </w:t>
      </w:r>
      <w:proofErr w:type="spellStart"/>
      <w:r w:rsidRPr="00F11866" w:rsidR="005D0A58">
        <w:rPr>
          <w:rStyle w:val="normaltextrun"/>
          <w:rFonts w:ascii="Calibri" w:hAnsi="Calibri" w:cs="Calibri"/>
          <w:color w:val="000000"/>
          <w:sz w:val="22"/>
          <w:szCs w:val="22"/>
        </w:rPr>
        <w:t>Communication</w:t>
      </w:r>
      <w:proofErr w:type="spellEnd"/>
      <w:r w:rsidRPr="00F11866" w:rsidR="005D0A5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Specialist</w:t>
      </w:r>
      <w:proofErr w:type="spellEnd"/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 +420 604 308 765, </w:t>
      </w:r>
      <w:hyperlink w:history="1" r:id="rId10">
        <w:r w:rsidRPr="00F11866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</w:hyperlink>
      <w:r w:rsidRPr="00F11866">
        <w:rPr>
          <w:rStyle w:val="normaltextrun"/>
          <w:rFonts w:ascii="Calibri" w:hAnsi="Calibri" w:cs="Calibri"/>
          <w:color w:val="000000"/>
          <w:sz w:val="22"/>
          <w:szCs w:val="22"/>
          <w:u w:val="single"/>
        </w:rPr>
        <w:br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CBRE Czech Republic</w:t>
      </w:r>
      <w:r w:rsidRPr="00F11866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proofErr w:type="spellStart"/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"https://www.facebook.com/pages/CBRE-News/626929170775263?ref=ts&amp;fref=ts" \t "_blank" </w:instrTex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Fa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c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ebook</w:t>
      </w:r>
      <w:proofErr w:type="spellEnd"/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F11866">
        <w:rPr>
          <w:rStyle w:val="normaltextrun"/>
          <w:rFonts w:ascii="Calibri" w:hAnsi="Calibri" w:cs="Calibri"/>
          <w:color w:val="000000"/>
          <w:sz w:val="22"/>
          <w:szCs w:val="22"/>
        </w:rPr>
        <w:t>, </w:t>
      </w:r>
      <w:proofErr w:type="spellStart"/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"https://www.instagram.com/cbre_cz/" \t "_blank" </w:instrText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Instagram</w:t>
      </w:r>
      <w:proofErr w:type="spellEnd"/>
      <w:r w:rsidRPr="00F11866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00F11866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xmlns:wp14="http://schemas.microsoft.com/office/word/2010/wordml" w:rsidRPr="00F11866" w:rsidR="00F422F6" w:rsidP="00F422F6" w:rsidRDefault="00F422F6" w14:paraId="3CD54FD2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F11866">
        <w:rPr>
          <w:rStyle w:val="scxw231575668"/>
          <w:rFonts w:ascii="Calibri" w:hAnsi="Calibri" w:cs="Calibri"/>
          <w:color w:val="000000"/>
        </w:rPr>
        <w:t> </w:t>
      </w:r>
      <w:r w:rsidRPr="00F11866">
        <w:rPr>
          <w:rFonts w:ascii="Calibri" w:hAnsi="Calibri" w:cs="Calibri"/>
          <w:color w:val="000000"/>
        </w:rPr>
        <w:br/>
      </w:r>
      <w:r w:rsidRPr="00F11866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u w:val="single"/>
        </w:rPr>
        <w:t>O CBRE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xmlns:wp14="http://schemas.microsoft.com/office/word/2010/wordml" w:rsidRPr="00F11866" w:rsidR="00F422F6" w:rsidP="00F422F6" w:rsidRDefault="00F422F6" w14:paraId="7B177A86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eastAsia="Calibri" w:cs="Calibri"/>
          <w:bCs/>
        </w:rPr>
      </w:pP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CBRE Group, společnost figurující na žebříčku </w:t>
      </w:r>
      <w:proofErr w:type="spellStart"/>
      <w:r w:rsidRPr="00F11866">
        <w:rPr>
          <w:rStyle w:val="spellingerror"/>
          <w:rFonts w:ascii="Calibri" w:hAnsi="Calibri" w:cs="Calibri"/>
          <w:color w:val="000000"/>
          <w:sz w:val="18"/>
          <w:szCs w:val="18"/>
        </w:rPr>
        <w:t>Fortune</w:t>
      </w:r>
      <w:proofErr w:type="spellEnd"/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 500 a indexu S&amp;P 500 se sídlem v </w:t>
      </w:r>
      <w:r w:rsidRPr="00F11866" w:rsidR="007D645B">
        <w:rPr>
          <w:rStyle w:val="normaltextrun"/>
          <w:rFonts w:ascii="Calibri" w:hAnsi="Calibri" w:cs="Calibri"/>
          <w:color w:val="000000"/>
          <w:sz w:val="18"/>
          <w:szCs w:val="18"/>
        </w:rPr>
        <w:t>Dallasu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, je světovou vedoucí společností v</w:t>
      </w:r>
      <w:r w:rsidRPr="00F11866" w:rsidR="002A02CC">
        <w:rPr>
          <w:rStyle w:val="normaltextrun"/>
          <w:rFonts w:ascii="Calibri" w:hAnsi="Calibri" w:cs="Calibri"/>
          <w:color w:val="000000"/>
          <w:sz w:val="18"/>
          <w:szCs w:val="18"/>
        </w:rPr>
        <w:t> 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oblasti realitních služeb a investi</w:t>
      </w:r>
      <w:r w:rsidRPr="00F11866" w:rsidR="002A02CC">
        <w:rPr>
          <w:rStyle w:val="normaltextrun"/>
          <w:rFonts w:ascii="Calibri" w:hAnsi="Calibri" w:cs="Calibri"/>
          <w:color w:val="000000"/>
          <w:sz w:val="18"/>
          <w:szCs w:val="18"/>
        </w:rPr>
        <w:t>c (z hlediska výnosů za rok 2020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F11866">
        <w:rPr>
          <w:rStyle w:val="normaltextrun"/>
          <w:rFonts w:ascii="Calibri" w:hAnsi="Calibri" w:cs="Calibri"/>
          <w:color w:val="000000"/>
          <w:sz w:val="14"/>
          <w:szCs w:val="14"/>
          <w:vertAlign w:val="superscript"/>
        </w:rPr>
        <w:t>2</w:t>
      </w:r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 Pro více informací navštivte internetové stránky společnosti na </w:t>
      </w:r>
      <w:hyperlink w:tgtFrame="_blank" w:history="1" r:id="rId11">
        <w:r w:rsidRPr="00F11866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00F11866">
        <w:rPr>
          <w:rStyle w:val="normaltextrun"/>
          <w:rFonts w:ascii="Calibri" w:hAnsi="Calibri" w:cs="Calibri"/>
          <w:color w:val="000000"/>
          <w:sz w:val="18"/>
          <w:szCs w:val="18"/>
        </w:rPr>
        <w:t>.</w:t>
      </w:r>
      <w:r w:rsidRPr="00F11866">
        <w:rPr>
          <w:rStyle w:val="eop"/>
          <w:rFonts w:ascii="Calibri" w:hAnsi="Calibri" w:cs="Calibri"/>
          <w:color w:val="000000"/>
          <w:sz w:val="18"/>
          <w:szCs w:val="18"/>
        </w:rPr>
        <w:t> </w:t>
      </w:r>
    </w:p>
    <w:p xmlns:wp14="http://schemas.microsoft.com/office/word/2010/wordml" w:rsidRPr="00F11866" w:rsidR="00F422F6" w:rsidP="00F422F6" w:rsidRDefault="00F422F6" w14:paraId="44EAFD9C" wp14:textId="77777777">
      <w:pPr>
        <w:spacing w:line="360" w:lineRule="auto"/>
        <w:jc w:val="both"/>
        <w:rPr>
          <w:rFonts w:ascii="Calibri" w:hAnsi="Calibri" w:cs="Calibri"/>
          <w:b/>
          <w:sz w:val="20"/>
          <w:lang w:val="cs-CZ"/>
        </w:rPr>
      </w:pPr>
    </w:p>
    <w:p xmlns:wp14="http://schemas.microsoft.com/office/word/2010/wordml" w:rsidRPr="00F11866" w:rsidR="00896E16" w:rsidP="00F422F6" w:rsidRDefault="00896E16" w14:paraId="4B94D5A5" wp14:textId="77777777">
      <w:pPr>
        <w:spacing w:line="360" w:lineRule="auto"/>
        <w:jc w:val="both"/>
        <w:rPr>
          <w:rFonts w:ascii="Calibri" w:hAnsi="Calibri" w:cs="Calibri"/>
          <w:sz w:val="18"/>
          <w:szCs w:val="18"/>
          <w:lang w:val="cs-CZ"/>
        </w:rPr>
      </w:pPr>
    </w:p>
    <w:sectPr w:rsidRPr="00F11866" w:rsidR="00896E16">
      <w:headerReference w:type="default" r:id="rId12"/>
      <w:headerReference w:type="first" r:id="rId13"/>
      <w:type w:val="continuous"/>
      <w:pgSz w:w="12240" w:h="15840" w:orient="portrait"/>
      <w:pgMar w:top="1800" w:right="1440" w:bottom="900" w:left="1260" w:header="1800" w:footer="720" w:gutter="0"/>
      <w:cols w:equalWidth="0" w:space="72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5E1A0E" w:rsidRDefault="005E1A0E" w14:paraId="049F31CB" wp14:textId="77777777">
      <w:r>
        <w:separator/>
      </w:r>
    </w:p>
  </w:endnote>
  <w:endnote w:type="continuationSeparator" w:id="0">
    <w:p xmlns:wp14="http://schemas.microsoft.com/office/word/2010/wordml" w:rsidR="005E1A0E" w:rsidRDefault="005E1A0E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nhemPro-Blon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5E1A0E" w:rsidRDefault="005E1A0E" w14:paraId="4101652C" wp14:textId="77777777">
      <w:r>
        <w:separator/>
      </w:r>
    </w:p>
  </w:footnote>
  <w:footnote w:type="continuationSeparator" w:id="0">
    <w:p xmlns:wp14="http://schemas.microsoft.com/office/word/2010/wordml" w:rsidR="005E1A0E" w:rsidRDefault="005E1A0E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EE2606" w:rsidR="00AC0353" w:rsidRDefault="00AC0353" w14:paraId="4704AD3C" wp14:textId="77777777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xmlns:wp14="http://schemas.microsoft.com/office/word/2010/wordml" w:rsidR="00AC0353" w:rsidRDefault="00AC0353" w14:paraId="62486C05" wp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p14">
  <w:p xmlns:wp14="http://schemas.microsoft.com/office/word/2010/wordml" w:rsidRPr="006F1F32" w:rsidR="00AC0353" w:rsidRDefault="00342EBA" w14:paraId="347B7872" wp14:textId="77777777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0" allowOverlap="1" wp14:anchorId="77AF33B7" wp14:editId="7777777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AC0353" w:rsidRDefault="00342EBA" w14:paraId="3DEEC669" wp14:textId="77777777">
                          <w:r>
                            <w:rPr>
                              <w:noProof/>
                            </w:rPr>
                            <w:drawing>
                              <wp:inline xmlns:wp14="http://schemas.microsoft.com/office/word/2010/wordprocessingDrawing" distT="0" distB="0" distL="0" distR="0" wp14:anchorId="71353C0E" wp14:editId="7777777">
                                <wp:extent cx="1266825" cy="314325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90DCF6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">
              <v:textbox>
                <w:txbxContent>
                  <w:p w:rsidR="00AC0353" w:rsidRDefault="00342EBA" w14:paraId="3656B9AB" wp14:textId="77777777"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3AC33837" wp14:editId="7777777">
                          <wp:extent cx="1266825" cy="314325"/>
                          <wp:effectExtent l="0" t="0" r="0" b="0"/>
                          <wp:docPr id="34182340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0" allowOverlap="1" wp14:anchorId="1B9EEE70" wp14:editId="7777777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5431BC" w:rsidR="00AC0353" w:rsidRDefault="00AC0353" w14:paraId="70944206" wp14:textId="77777777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D61F000">
            <v:shape id="Text Box 3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">
              <v:textbox>
                <w:txbxContent>
                  <w:p w:rsidRPr="005431BC" w:rsidR="00AC0353" w:rsidRDefault="00AC0353" w14:paraId="2D885470" wp14:textId="77777777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xmlns:wp14="http://schemas.microsoft.com/office/word/2010/wordml" w:rsidRPr="006F1F32" w:rsidR="00AC0353" w:rsidRDefault="00AC0353" w14:paraId="45FB0818" wp14:textId="77777777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08B12E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5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F946A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FE1B11"/>
    <w:multiLevelType w:val="hybridMultilevel"/>
    <w:tmpl w:val="F6466B10"/>
    <w:lvl w:ilvl="0" w:tplc="2C04FE36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B1348B"/>
    <w:multiLevelType w:val="hybridMultilevel"/>
    <w:tmpl w:val="E11464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684091"/>
    <w:multiLevelType w:val="multilevel"/>
    <w:tmpl w:val="9C64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2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0"/>
  </w:num>
  <w:num w:numId="10">
    <w:abstractNumId w:val="5"/>
  </w:num>
  <w:num w:numId="11">
    <w:abstractNumId w:val="17"/>
  </w:num>
  <w:num w:numId="12">
    <w:abstractNumId w:val="14"/>
  </w:num>
  <w:num w:numId="13">
    <w:abstractNumId w:val="0"/>
  </w:num>
  <w:num w:numId="14">
    <w:abstractNumId w:val="11"/>
  </w:num>
  <w:num w:numId="15">
    <w:abstractNumId w:val="3"/>
  </w:num>
  <w:num w:numId="16">
    <w:abstractNumId w:val="9"/>
  </w:num>
  <w:num w:numId="17">
    <w:abstractNumId w:val="13"/>
  </w:num>
  <w:num w:numId="1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E"/>
    <w:rsid w:val="00003F08"/>
    <w:rsid w:val="00007054"/>
    <w:rsid w:val="00007841"/>
    <w:rsid w:val="00007AB5"/>
    <w:rsid w:val="00011BDE"/>
    <w:rsid w:val="00013A2C"/>
    <w:rsid w:val="00015030"/>
    <w:rsid w:val="0002324D"/>
    <w:rsid w:val="00024CE7"/>
    <w:rsid w:val="00035FCE"/>
    <w:rsid w:val="000361B9"/>
    <w:rsid w:val="00043948"/>
    <w:rsid w:val="000443CE"/>
    <w:rsid w:val="00045390"/>
    <w:rsid w:val="00046C49"/>
    <w:rsid w:val="00053F3B"/>
    <w:rsid w:val="00054509"/>
    <w:rsid w:val="000613B7"/>
    <w:rsid w:val="0007266A"/>
    <w:rsid w:val="00072B9B"/>
    <w:rsid w:val="00074367"/>
    <w:rsid w:val="0008213B"/>
    <w:rsid w:val="00084141"/>
    <w:rsid w:val="000845EF"/>
    <w:rsid w:val="00085D15"/>
    <w:rsid w:val="00091E14"/>
    <w:rsid w:val="0009404E"/>
    <w:rsid w:val="00094B43"/>
    <w:rsid w:val="000978FB"/>
    <w:rsid w:val="000A156A"/>
    <w:rsid w:val="000A1983"/>
    <w:rsid w:val="000B34F0"/>
    <w:rsid w:val="000B489A"/>
    <w:rsid w:val="000B7678"/>
    <w:rsid w:val="000C0127"/>
    <w:rsid w:val="000C44BB"/>
    <w:rsid w:val="000C49BA"/>
    <w:rsid w:val="000C7B2E"/>
    <w:rsid w:val="000D2766"/>
    <w:rsid w:val="000D7C49"/>
    <w:rsid w:val="000E2D0D"/>
    <w:rsid w:val="000F2AFB"/>
    <w:rsid w:val="000F346B"/>
    <w:rsid w:val="000F4B99"/>
    <w:rsid w:val="000F77C2"/>
    <w:rsid w:val="00100EB7"/>
    <w:rsid w:val="0010245E"/>
    <w:rsid w:val="00102EF4"/>
    <w:rsid w:val="00107959"/>
    <w:rsid w:val="00113D8F"/>
    <w:rsid w:val="0011736A"/>
    <w:rsid w:val="00120D56"/>
    <w:rsid w:val="00122299"/>
    <w:rsid w:val="0012289C"/>
    <w:rsid w:val="00122DD2"/>
    <w:rsid w:val="0012574C"/>
    <w:rsid w:val="001268C2"/>
    <w:rsid w:val="00133B7A"/>
    <w:rsid w:val="00133D15"/>
    <w:rsid w:val="00137053"/>
    <w:rsid w:val="00140275"/>
    <w:rsid w:val="001410C6"/>
    <w:rsid w:val="00143067"/>
    <w:rsid w:val="001433F5"/>
    <w:rsid w:val="00143AD2"/>
    <w:rsid w:val="00147579"/>
    <w:rsid w:val="001509CD"/>
    <w:rsid w:val="0015114B"/>
    <w:rsid w:val="00152977"/>
    <w:rsid w:val="00153D91"/>
    <w:rsid w:val="0015781E"/>
    <w:rsid w:val="00163090"/>
    <w:rsid w:val="001637FF"/>
    <w:rsid w:val="00171602"/>
    <w:rsid w:val="0017412A"/>
    <w:rsid w:val="00181763"/>
    <w:rsid w:val="00185A61"/>
    <w:rsid w:val="001935A9"/>
    <w:rsid w:val="001966AB"/>
    <w:rsid w:val="001A50E1"/>
    <w:rsid w:val="001B089E"/>
    <w:rsid w:val="001B46F5"/>
    <w:rsid w:val="001C2EF2"/>
    <w:rsid w:val="001C3E7B"/>
    <w:rsid w:val="001D1042"/>
    <w:rsid w:val="001E0AE4"/>
    <w:rsid w:val="001E4197"/>
    <w:rsid w:val="001E6B1B"/>
    <w:rsid w:val="001E7F66"/>
    <w:rsid w:val="001F2164"/>
    <w:rsid w:val="001F5B09"/>
    <w:rsid w:val="00202D5E"/>
    <w:rsid w:val="002032CF"/>
    <w:rsid w:val="002048D9"/>
    <w:rsid w:val="00213B7F"/>
    <w:rsid w:val="002161D6"/>
    <w:rsid w:val="00220128"/>
    <w:rsid w:val="002213D0"/>
    <w:rsid w:val="002243FD"/>
    <w:rsid w:val="0022615A"/>
    <w:rsid w:val="00226F28"/>
    <w:rsid w:val="00232A3A"/>
    <w:rsid w:val="00234C49"/>
    <w:rsid w:val="00234D03"/>
    <w:rsid w:val="00236733"/>
    <w:rsid w:val="0024712D"/>
    <w:rsid w:val="002473AB"/>
    <w:rsid w:val="0024770F"/>
    <w:rsid w:val="002507AD"/>
    <w:rsid w:val="00251BE6"/>
    <w:rsid w:val="0025725D"/>
    <w:rsid w:val="002601D2"/>
    <w:rsid w:val="002647D5"/>
    <w:rsid w:val="00275F4E"/>
    <w:rsid w:val="00276F8C"/>
    <w:rsid w:val="0028094F"/>
    <w:rsid w:val="002831CE"/>
    <w:rsid w:val="00283B5D"/>
    <w:rsid w:val="0029552F"/>
    <w:rsid w:val="002A02CC"/>
    <w:rsid w:val="002A197F"/>
    <w:rsid w:val="002A50A5"/>
    <w:rsid w:val="002B6D1B"/>
    <w:rsid w:val="002C0CB2"/>
    <w:rsid w:val="002C591A"/>
    <w:rsid w:val="002D4AC1"/>
    <w:rsid w:val="002D5222"/>
    <w:rsid w:val="002D573D"/>
    <w:rsid w:val="002D6572"/>
    <w:rsid w:val="002E4D6A"/>
    <w:rsid w:val="002F62A8"/>
    <w:rsid w:val="00301599"/>
    <w:rsid w:val="003021A4"/>
    <w:rsid w:val="00302847"/>
    <w:rsid w:val="00304A3B"/>
    <w:rsid w:val="003075BA"/>
    <w:rsid w:val="00312149"/>
    <w:rsid w:val="00317AF2"/>
    <w:rsid w:val="003203E3"/>
    <w:rsid w:val="00326986"/>
    <w:rsid w:val="00327883"/>
    <w:rsid w:val="00330302"/>
    <w:rsid w:val="00330386"/>
    <w:rsid w:val="00331160"/>
    <w:rsid w:val="00335449"/>
    <w:rsid w:val="00341977"/>
    <w:rsid w:val="00342EBA"/>
    <w:rsid w:val="00345315"/>
    <w:rsid w:val="003459E8"/>
    <w:rsid w:val="003462C8"/>
    <w:rsid w:val="00347883"/>
    <w:rsid w:val="0035222D"/>
    <w:rsid w:val="00353D70"/>
    <w:rsid w:val="00355A19"/>
    <w:rsid w:val="00361317"/>
    <w:rsid w:val="003660BA"/>
    <w:rsid w:val="003729DB"/>
    <w:rsid w:val="00376CF5"/>
    <w:rsid w:val="00381009"/>
    <w:rsid w:val="00383A8B"/>
    <w:rsid w:val="00384E16"/>
    <w:rsid w:val="00391D07"/>
    <w:rsid w:val="00393CF4"/>
    <w:rsid w:val="003A7F78"/>
    <w:rsid w:val="003C107C"/>
    <w:rsid w:val="003C11F0"/>
    <w:rsid w:val="003C31C1"/>
    <w:rsid w:val="003C4452"/>
    <w:rsid w:val="003C6EF1"/>
    <w:rsid w:val="003D01D1"/>
    <w:rsid w:val="003D18D4"/>
    <w:rsid w:val="003D2C54"/>
    <w:rsid w:val="003D2F44"/>
    <w:rsid w:val="003E2ED5"/>
    <w:rsid w:val="003E31B1"/>
    <w:rsid w:val="003E5BC2"/>
    <w:rsid w:val="003E64FA"/>
    <w:rsid w:val="003E7634"/>
    <w:rsid w:val="003F0DD6"/>
    <w:rsid w:val="003F330F"/>
    <w:rsid w:val="003F5D8D"/>
    <w:rsid w:val="0040159C"/>
    <w:rsid w:val="00401BD1"/>
    <w:rsid w:val="00403249"/>
    <w:rsid w:val="004049DA"/>
    <w:rsid w:val="004054E5"/>
    <w:rsid w:val="00405BBC"/>
    <w:rsid w:val="004104D8"/>
    <w:rsid w:val="00413339"/>
    <w:rsid w:val="00413BFE"/>
    <w:rsid w:val="00415C5F"/>
    <w:rsid w:val="0041607E"/>
    <w:rsid w:val="00421FAE"/>
    <w:rsid w:val="00423A31"/>
    <w:rsid w:val="00430F75"/>
    <w:rsid w:val="004317FB"/>
    <w:rsid w:val="00432F52"/>
    <w:rsid w:val="0043605F"/>
    <w:rsid w:val="00436091"/>
    <w:rsid w:val="00436D8B"/>
    <w:rsid w:val="0043737B"/>
    <w:rsid w:val="00441D7D"/>
    <w:rsid w:val="00442EA3"/>
    <w:rsid w:val="0044532D"/>
    <w:rsid w:val="00447EB6"/>
    <w:rsid w:val="004505E6"/>
    <w:rsid w:val="00451F1E"/>
    <w:rsid w:val="0045296F"/>
    <w:rsid w:val="0046592D"/>
    <w:rsid w:val="00480286"/>
    <w:rsid w:val="00480CBA"/>
    <w:rsid w:val="00484B4F"/>
    <w:rsid w:val="004901C0"/>
    <w:rsid w:val="0049047E"/>
    <w:rsid w:val="004A0670"/>
    <w:rsid w:val="004A2268"/>
    <w:rsid w:val="004A62D7"/>
    <w:rsid w:val="004B0E8A"/>
    <w:rsid w:val="004B1409"/>
    <w:rsid w:val="004B2C77"/>
    <w:rsid w:val="004B3BE3"/>
    <w:rsid w:val="004B7EC2"/>
    <w:rsid w:val="004C06AD"/>
    <w:rsid w:val="004C2B18"/>
    <w:rsid w:val="004C572B"/>
    <w:rsid w:val="004C605A"/>
    <w:rsid w:val="004D2034"/>
    <w:rsid w:val="004E097E"/>
    <w:rsid w:val="004E1289"/>
    <w:rsid w:val="004E1688"/>
    <w:rsid w:val="004E1D3A"/>
    <w:rsid w:val="004F7E34"/>
    <w:rsid w:val="0050111F"/>
    <w:rsid w:val="005025C4"/>
    <w:rsid w:val="00503593"/>
    <w:rsid w:val="005054F4"/>
    <w:rsid w:val="005120B1"/>
    <w:rsid w:val="005168C8"/>
    <w:rsid w:val="00517937"/>
    <w:rsid w:val="0052294E"/>
    <w:rsid w:val="00524D8F"/>
    <w:rsid w:val="005257D7"/>
    <w:rsid w:val="00527F4C"/>
    <w:rsid w:val="005313D2"/>
    <w:rsid w:val="00531F56"/>
    <w:rsid w:val="00535F43"/>
    <w:rsid w:val="005377E9"/>
    <w:rsid w:val="005424E6"/>
    <w:rsid w:val="005431BC"/>
    <w:rsid w:val="00543D63"/>
    <w:rsid w:val="0055397F"/>
    <w:rsid w:val="00565501"/>
    <w:rsid w:val="0057048E"/>
    <w:rsid w:val="00575D37"/>
    <w:rsid w:val="00581C1A"/>
    <w:rsid w:val="00582E9C"/>
    <w:rsid w:val="005900F1"/>
    <w:rsid w:val="00593552"/>
    <w:rsid w:val="00593880"/>
    <w:rsid w:val="00595762"/>
    <w:rsid w:val="0059661D"/>
    <w:rsid w:val="00597A83"/>
    <w:rsid w:val="005A0417"/>
    <w:rsid w:val="005A18F6"/>
    <w:rsid w:val="005A2A50"/>
    <w:rsid w:val="005A2F58"/>
    <w:rsid w:val="005A7544"/>
    <w:rsid w:val="005A7568"/>
    <w:rsid w:val="005B3753"/>
    <w:rsid w:val="005B4535"/>
    <w:rsid w:val="005B4942"/>
    <w:rsid w:val="005B4B0E"/>
    <w:rsid w:val="005C6C2F"/>
    <w:rsid w:val="005C71AD"/>
    <w:rsid w:val="005D0A58"/>
    <w:rsid w:val="005D0BF0"/>
    <w:rsid w:val="005D1CE4"/>
    <w:rsid w:val="005D2270"/>
    <w:rsid w:val="005D3C4F"/>
    <w:rsid w:val="005D3F39"/>
    <w:rsid w:val="005D4E73"/>
    <w:rsid w:val="005D58F0"/>
    <w:rsid w:val="005E190C"/>
    <w:rsid w:val="005E1A0E"/>
    <w:rsid w:val="005E1EBD"/>
    <w:rsid w:val="005E3768"/>
    <w:rsid w:val="005E65E1"/>
    <w:rsid w:val="005E70D7"/>
    <w:rsid w:val="005F01DF"/>
    <w:rsid w:val="005F648D"/>
    <w:rsid w:val="006029F8"/>
    <w:rsid w:val="006045C2"/>
    <w:rsid w:val="00605B1F"/>
    <w:rsid w:val="00605BDB"/>
    <w:rsid w:val="006071AE"/>
    <w:rsid w:val="0061090D"/>
    <w:rsid w:val="00610923"/>
    <w:rsid w:val="00611758"/>
    <w:rsid w:val="0061192E"/>
    <w:rsid w:val="00612406"/>
    <w:rsid w:val="006139FD"/>
    <w:rsid w:val="00615A26"/>
    <w:rsid w:val="00616E93"/>
    <w:rsid w:val="00624C29"/>
    <w:rsid w:val="00624D44"/>
    <w:rsid w:val="00625E23"/>
    <w:rsid w:val="0062691A"/>
    <w:rsid w:val="00634839"/>
    <w:rsid w:val="006377F6"/>
    <w:rsid w:val="00640BA0"/>
    <w:rsid w:val="00641416"/>
    <w:rsid w:val="00646642"/>
    <w:rsid w:val="00647305"/>
    <w:rsid w:val="00651ED9"/>
    <w:rsid w:val="0065674D"/>
    <w:rsid w:val="00664D6F"/>
    <w:rsid w:val="00670533"/>
    <w:rsid w:val="00675D85"/>
    <w:rsid w:val="00677455"/>
    <w:rsid w:val="00681855"/>
    <w:rsid w:val="00681CDB"/>
    <w:rsid w:val="00683987"/>
    <w:rsid w:val="0068483F"/>
    <w:rsid w:val="006861DA"/>
    <w:rsid w:val="00686730"/>
    <w:rsid w:val="0068773E"/>
    <w:rsid w:val="006920CC"/>
    <w:rsid w:val="006976A2"/>
    <w:rsid w:val="00697D8D"/>
    <w:rsid w:val="006A13E3"/>
    <w:rsid w:val="006A3861"/>
    <w:rsid w:val="006A7404"/>
    <w:rsid w:val="006B0041"/>
    <w:rsid w:val="006B1072"/>
    <w:rsid w:val="006B2E14"/>
    <w:rsid w:val="006C35E7"/>
    <w:rsid w:val="006C4CE9"/>
    <w:rsid w:val="006C6137"/>
    <w:rsid w:val="006C705B"/>
    <w:rsid w:val="006D5962"/>
    <w:rsid w:val="006D736F"/>
    <w:rsid w:val="006E10FD"/>
    <w:rsid w:val="006E46B3"/>
    <w:rsid w:val="006E7716"/>
    <w:rsid w:val="006F1286"/>
    <w:rsid w:val="006F1F32"/>
    <w:rsid w:val="007003C1"/>
    <w:rsid w:val="0070086B"/>
    <w:rsid w:val="007065BA"/>
    <w:rsid w:val="00712400"/>
    <w:rsid w:val="00713397"/>
    <w:rsid w:val="00713B15"/>
    <w:rsid w:val="00714E5F"/>
    <w:rsid w:val="00721A76"/>
    <w:rsid w:val="007236BE"/>
    <w:rsid w:val="007300B4"/>
    <w:rsid w:val="0073466A"/>
    <w:rsid w:val="00734786"/>
    <w:rsid w:val="00737BAE"/>
    <w:rsid w:val="00741B6B"/>
    <w:rsid w:val="0075242C"/>
    <w:rsid w:val="00752689"/>
    <w:rsid w:val="00752D7B"/>
    <w:rsid w:val="00753907"/>
    <w:rsid w:val="007551ED"/>
    <w:rsid w:val="00755DFA"/>
    <w:rsid w:val="007561AE"/>
    <w:rsid w:val="00756986"/>
    <w:rsid w:val="0076007C"/>
    <w:rsid w:val="0076342F"/>
    <w:rsid w:val="00766DD0"/>
    <w:rsid w:val="00766ED1"/>
    <w:rsid w:val="0077271E"/>
    <w:rsid w:val="007732AA"/>
    <w:rsid w:val="00773C16"/>
    <w:rsid w:val="0077442C"/>
    <w:rsid w:val="00774DA3"/>
    <w:rsid w:val="0077755E"/>
    <w:rsid w:val="007844BC"/>
    <w:rsid w:val="00787CCF"/>
    <w:rsid w:val="00787DC1"/>
    <w:rsid w:val="007A4D5B"/>
    <w:rsid w:val="007A74CB"/>
    <w:rsid w:val="007C21F4"/>
    <w:rsid w:val="007C2D0F"/>
    <w:rsid w:val="007C2EC0"/>
    <w:rsid w:val="007C57E9"/>
    <w:rsid w:val="007C5C43"/>
    <w:rsid w:val="007D20A2"/>
    <w:rsid w:val="007D2AA9"/>
    <w:rsid w:val="007D5E91"/>
    <w:rsid w:val="007D645B"/>
    <w:rsid w:val="007E1A1E"/>
    <w:rsid w:val="007E3B36"/>
    <w:rsid w:val="007E5383"/>
    <w:rsid w:val="007F1AB4"/>
    <w:rsid w:val="007F6B1F"/>
    <w:rsid w:val="00800347"/>
    <w:rsid w:val="00800ACA"/>
    <w:rsid w:val="0080504C"/>
    <w:rsid w:val="00807E99"/>
    <w:rsid w:val="008111EA"/>
    <w:rsid w:val="00813010"/>
    <w:rsid w:val="00813935"/>
    <w:rsid w:val="0082400C"/>
    <w:rsid w:val="008253CD"/>
    <w:rsid w:val="00827442"/>
    <w:rsid w:val="008374F4"/>
    <w:rsid w:val="008403AB"/>
    <w:rsid w:val="00846225"/>
    <w:rsid w:val="00853694"/>
    <w:rsid w:val="008611A6"/>
    <w:rsid w:val="008620DD"/>
    <w:rsid w:val="00866B45"/>
    <w:rsid w:val="00866FD9"/>
    <w:rsid w:val="00872875"/>
    <w:rsid w:val="008733E0"/>
    <w:rsid w:val="008741DA"/>
    <w:rsid w:val="0087631A"/>
    <w:rsid w:val="0088169D"/>
    <w:rsid w:val="00882C99"/>
    <w:rsid w:val="00894228"/>
    <w:rsid w:val="008947E7"/>
    <w:rsid w:val="00896E16"/>
    <w:rsid w:val="008971F8"/>
    <w:rsid w:val="008A7360"/>
    <w:rsid w:val="008C0C62"/>
    <w:rsid w:val="008C70AD"/>
    <w:rsid w:val="008D010E"/>
    <w:rsid w:val="008D5D23"/>
    <w:rsid w:val="008E0E22"/>
    <w:rsid w:val="008E16F0"/>
    <w:rsid w:val="008E1F28"/>
    <w:rsid w:val="008E5EE9"/>
    <w:rsid w:val="008F2443"/>
    <w:rsid w:val="0090447D"/>
    <w:rsid w:val="00905F36"/>
    <w:rsid w:val="00922399"/>
    <w:rsid w:val="009246E4"/>
    <w:rsid w:val="009323E9"/>
    <w:rsid w:val="00935F8F"/>
    <w:rsid w:val="009366AB"/>
    <w:rsid w:val="009369C7"/>
    <w:rsid w:val="00941224"/>
    <w:rsid w:val="00945509"/>
    <w:rsid w:val="009470CE"/>
    <w:rsid w:val="00950388"/>
    <w:rsid w:val="00957850"/>
    <w:rsid w:val="00957F2B"/>
    <w:rsid w:val="009716CA"/>
    <w:rsid w:val="009766AE"/>
    <w:rsid w:val="00980213"/>
    <w:rsid w:val="009828BA"/>
    <w:rsid w:val="009830C0"/>
    <w:rsid w:val="00984D38"/>
    <w:rsid w:val="0099208B"/>
    <w:rsid w:val="00994D94"/>
    <w:rsid w:val="00995211"/>
    <w:rsid w:val="009A799E"/>
    <w:rsid w:val="009B4725"/>
    <w:rsid w:val="009B53E8"/>
    <w:rsid w:val="009C0169"/>
    <w:rsid w:val="009C330E"/>
    <w:rsid w:val="009C41E6"/>
    <w:rsid w:val="009C736E"/>
    <w:rsid w:val="009D0B68"/>
    <w:rsid w:val="009D3D8B"/>
    <w:rsid w:val="009D6F07"/>
    <w:rsid w:val="009E371A"/>
    <w:rsid w:val="009E41CC"/>
    <w:rsid w:val="009F0AF3"/>
    <w:rsid w:val="009F1ADC"/>
    <w:rsid w:val="00A01428"/>
    <w:rsid w:val="00A1021C"/>
    <w:rsid w:val="00A1029C"/>
    <w:rsid w:val="00A111AC"/>
    <w:rsid w:val="00A21BA6"/>
    <w:rsid w:val="00A22925"/>
    <w:rsid w:val="00A2516F"/>
    <w:rsid w:val="00A25CB3"/>
    <w:rsid w:val="00A315A0"/>
    <w:rsid w:val="00A34F31"/>
    <w:rsid w:val="00A407AD"/>
    <w:rsid w:val="00A42FCF"/>
    <w:rsid w:val="00A435CB"/>
    <w:rsid w:val="00A441AF"/>
    <w:rsid w:val="00A46F43"/>
    <w:rsid w:val="00A50F47"/>
    <w:rsid w:val="00A52621"/>
    <w:rsid w:val="00A561B6"/>
    <w:rsid w:val="00A56370"/>
    <w:rsid w:val="00A57C43"/>
    <w:rsid w:val="00A57C48"/>
    <w:rsid w:val="00A629A5"/>
    <w:rsid w:val="00A62CD0"/>
    <w:rsid w:val="00A62F06"/>
    <w:rsid w:val="00A71731"/>
    <w:rsid w:val="00A71C9B"/>
    <w:rsid w:val="00A80B92"/>
    <w:rsid w:val="00A81EAE"/>
    <w:rsid w:val="00A82D1D"/>
    <w:rsid w:val="00A8657F"/>
    <w:rsid w:val="00A94FDD"/>
    <w:rsid w:val="00AA0752"/>
    <w:rsid w:val="00AA08A7"/>
    <w:rsid w:val="00AA1DCF"/>
    <w:rsid w:val="00AA36C1"/>
    <w:rsid w:val="00AB0C80"/>
    <w:rsid w:val="00AB3BDC"/>
    <w:rsid w:val="00AB48E6"/>
    <w:rsid w:val="00AC0353"/>
    <w:rsid w:val="00AC055C"/>
    <w:rsid w:val="00AC296F"/>
    <w:rsid w:val="00AD1207"/>
    <w:rsid w:val="00AD411E"/>
    <w:rsid w:val="00AD4F51"/>
    <w:rsid w:val="00AD5D1E"/>
    <w:rsid w:val="00AE0005"/>
    <w:rsid w:val="00AE15CD"/>
    <w:rsid w:val="00AE28C8"/>
    <w:rsid w:val="00AE3DCD"/>
    <w:rsid w:val="00AF2321"/>
    <w:rsid w:val="00B067F6"/>
    <w:rsid w:val="00B10A44"/>
    <w:rsid w:val="00B21D04"/>
    <w:rsid w:val="00B21FFC"/>
    <w:rsid w:val="00B223AB"/>
    <w:rsid w:val="00B25722"/>
    <w:rsid w:val="00B3173F"/>
    <w:rsid w:val="00B34D68"/>
    <w:rsid w:val="00B409C8"/>
    <w:rsid w:val="00B40C6A"/>
    <w:rsid w:val="00B4172B"/>
    <w:rsid w:val="00B479A5"/>
    <w:rsid w:val="00B53044"/>
    <w:rsid w:val="00B55128"/>
    <w:rsid w:val="00B6046B"/>
    <w:rsid w:val="00B63758"/>
    <w:rsid w:val="00B65F44"/>
    <w:rsid w:val="00B71801"/>
    <w:rsid w:val="00B729AA"/>
    <w:rsid w:val="00B73450"/>
    <w:rsid w:val="00B75D89"/>
    <w:rsid w:val="00B81784"/>
    <w:rsid w:val="00B8192E"/>
    <w:rsid w:val="00B83A58"/>
    <w:rsid w:val="00B868C5"/>
    <w:rsid w:val="00B90BAB"/>
    <w:rsid w:val="00B97B47"/>
    <w:rsid w:val="00BB2121"/>
    <w:rsid w:val="00BB2C27"/>
    <w:rsid w:val="00BB4D1E"/>
    <w:rsid w:val="00BB5235"/>
    <w:rsid w:val="00BB646B"/>
    <w:rsid w:val="00BB71F7"/>
    <w:rsid w:val="00BC3A02"/>
    <w:rsid w:val="00BC3ABE"/>
    <w:rsid w:val="00BC46B1"/>
    <w:rsid w:val="00BD1227"/>
    <w:rsid w:val="00BD2E32"/>
    <w:rsid w:val="00BD3C9E"/>
    <w:rsid w:val="00BD4E24"/>
    <w:rsid w:val="00BD77C8"/>
    <w:rsid w:val="00BE0D13"/>
    <w:rsid w:val="00BE0F39"/>
    <w:rsid w:val="00C0052A"/>
    <w:rsid w:val="00C011DF"/>
    <w:rsid w:val="00C03ADE"/>
    <w:rsid w:val="00C045CF"/>
    <w:rsid w:val="00C105FA"/>
    <w:rsid w:val="00C11241"/>
    <w:rsid w:val="00C1128A"/>
    <w:rsid w:val="00C11380"/>
    <w:rsid w:val="00C15AA2"/>
    <w:rsid w:val="00C17BFD"/>
    <w:rsid w:val="00C2120A"/>
    <w:rsid w:val="00C23428"/>
    <w:rsid w:val="00C23FC8"/>
    <w:rsid w:val="00C31CA6"/>
    <w:rsid w:val="00C40DA1"/>
    <w:rsid w:val="00C429DE"/>
    <w:rsid w:val="00C44D96"/>
    <w:rsid w:val="00C46BC1"/>
    <w:rsid w:val="00C473C3"/>
    <w:rsid w:val="00C568E1"/>
    <w:rsid w:val="00C611AA"/>
    <w:rsid w:val="00C654D7"/>
    <w:rsid w:val="00C679CC"/>
    <w:rsid w:val="00C72ECD"/>
    <w:rsid w:val="00C73A16"/>
    <w:rsid w:val="00C801F0"/>
    <w:rsid w:val="00C85369"/>
    <w:rsid w:val="00C869BB"/>
    <w:rsid w:val="00C87BD9"/>
    <w:rsid w:val="00CA465C"/>
    <w:rsid w:val="00CA480A"/>
    <w:rsid w:val="00CB2094"/>
    <w:rsid w:val="00CB5C0F"/>
    <w:rsid w:val="00CC1CB1"/>
    <w:rsid w:val="00CC4F20"/>
    <w:rsid w:val="00CC5395"/>
    <w:rsid w:val="00CC6E7E"/>
    <w:rsid w:val="00CD73F2"/>
    <w:rsid w:val="00CE15A6"/>
    <w:rsid w:val="00CE1BC0"/>
    <w:rsid w:val="00CE2D0A"/>
    <w:rsid w:val="00CE5A72"/>
    <w:rsid w:val="00CE7994"/>
    <w:rsid w:val="00CE7D8F"/>
    <w:rsid w:val="00CF338B"/>
    <w:rsid w:val="00CF4869"/>
    <w:rsid w:val="00CF508E"/>
    <w:rsid w:val="00D01228"/>
    <w:rsid w:val="00D0467E"/>
    <w:rsid w:val="00D049BD"/>
    <w:rsid w:val="00D04B39"/>
    <w:rsid w:val="00D10B1F"/>
    <w:rsid w:val="00D111F1"/>
    <w:rsid w:val="00D11C62"/>
    <w:rsid w:val="00D142BB"/>
    <w:rsid w:val="00D16084"/>
    <w:rsid w:val="00D20576"/>
    <w:rsid w:val="00D2072F"/>
    <w:rsid w:val="00D21C34"/>
    <w:rsid w:val="00D22BB9"/>
    <w:rsid w:val="00D2375F"/>
    <w:rsid w:val="00D26134"/>
    <w:rsid w:val="00D30FC5"/>
    <w:rsid w:val="00D31C48"/>
    <w:rsid w:val="00D3630F"/>
    <w:rsid w:val="00D37A3C"/>
    <w:rsid w:val="00D42798"/>
    <w:rsid w:val="00D42D8B"/>
    <w:rsid w:val="00D43672"/>
    <w:rsid w:val="00D44541"/>
    <w:rsid w:val="00D54A2F"/>
    <w:rsid w:val="00D62CD2"/>
    <w:rsid w:val="00D65E2E"/>
    <w:rsid w:val="00D67274"/>
    <w:rsid w:val="00D75CCC"/>
    <w:rsid w:val="00D77941"/>
    <w:rsid w:val="00D84FF6"/>
    <w:rsid w:val="00D86F86"/>
    <w:rsid w:val="00D87516"/>
    <w:rsid w:val="00D96D2D"/>
    <w:rsid w:val="00D970E4"/>
    <w:rsid w:val="00DA034C"/>
    <w:rsid w:val="00DA15C9"/>
    <w:rsid w:val="00DA57E8"/>
    <w:rsid w:val="00DA70CC"/>
    <w:rsid w:val="00DB2AEE"/>
    <w:rsid w:val="00DB340D"/>
    <w:rsid w:val="00DC07B7"/>
    <w:rsid w:val="00DC29E6"/>
    <w:rsid w:val="00DC6E89"/>
    <w:rsid w:val="00DD7F9B"/>
    <w:rsid w:val="00DE0C85"/>
    <w:rsid w:val="00DE4A5C"/>
    <w:rsid w:val="00DE5927"/>
    <w:rsid w:val="00DF003B"/>
    <w:rsid w:val="00DF61F9"/>
    <w:rsid w:val="00DF6929"/>
    <w:rsid w:val="00DF7FB9"/>
    <w:rsid w:val="00E03C4D"/>
    <w:rsid w:val="00E112FE"/>
    <w:rsid w:val="00E12ADD"/>
    <w:rsid w:val="00E14718"/>
    <w:rsid w:val="00E16881"/>
    <w:rsid w:val="00E16D09"/>
    <w:rsid w:val="00E17C36"/>
    <w:rsid w:val="00E22E45"/>
    <w:rsid w:val="00E23D3D"/>
    <w:rsid w:val="00E24CA0"/>
    <w:rsid w:val="00E25B6C"/>
    <w:rsid w:val="00E274EB"/>
    <w:rsid w:val="00E32050"/>
    <w:rsid w:val="00E3315A"/>
    <w:rsid w:val="00E34D45"/>
    <w:rsid w:val="00E37159"/>
    <w:rsid w:val="00E374D7"/>
    <w:rsid w:val="00E37605"/>
    <w:rsid w:val="00E37F65"/>
    <w:rsid w:val="00E407D8"/>
    <w:rsid w:val="00E45EB5"/>
    <w:rsid w:val="00E507D0"/>
    <w:rsid w:val="00E524B1"/>
    <w:rsid w:val="00E525E9"/>
    <w:rsid w:val="00E55062"/>
    <w:rsid w:val="00E6399D"/>
    <w:rsid w:val="00E70BF7"/>
    <w:rsid w:val="00E841AD"/>
    <w:rsid w:val="00E84F3E"/>
    <w:rsid w:val="00E86703"/>
    <w:rsid w:val="00E86BD7"/>
    <w:rsid w:val="00E94E89"/>
    <w:rsid w:val="00EA0F43"/>
    <w:rsid w:val="00EB367D"/>
    <w:rsid w:val="00EB5551"/>
    <w:rsid w:val="00EB5D15"/>
    <w:rsid w:val="00EC691F"/>
    <w:rsid w:val="00ED243D"/>
    <w:rsid w:val="00EE0420"/>
    <w:rsid w:val="00EE08ED"/>
    <w:rsid w:val="00EE11FB"/>
    <w:rsid w:val="00EE2606"/>
    <w:rsid w:val="00EE2C01"/>
    <w:rsid w:val="00EE5255"/>
    <w:rsid w:val="00EE56E8"/>
    <w:rsid w:val="00F05E4D"/>
    <w:rsid w:val="00F11866"/>
    <w:rsid w:val="00F144D3"/>
    <w:rsid w:val="00F153A4"/>
    <w:rsid w:val="00F1554E"/>
    <w:rsid w:val="00F15FBF"/>
    <w:rsid w:val="00F16060"/>
    <w:rsid w:val="00F1612B"/>
    <w:rsid w:val="00F16AAE"/>
    <w:rsid w:val="00F32233"/>
    <w:rsid w:val="00F41736"/>
    <w:rsid w:val="00F422F6"/>
    <w:rsid w:val="00F437C4"/>
    <w:rsid w:val="00F53536"/>
    <w:rsid w:val="00F53722"/>
    <w:rsid w:val="00F5512B"/>
    <w:rsid w:val="00F676C4"/>
    <w:rsid w:val="00F71B58"/>
    <w:rsid w:val="00F752B9"/>
    <w:rsid w:val="00F837A4"/>
    <w:rsid w:val="00F8610E"/>
    <w:rsid w:val="00F87372"/>
    <w:rsid w:val="00F87CA5"/>
    <w:rsid w:val="00F947E7"/>
    <w:rsid w:val="00F97FC9"/>
    <w:rsid w:val="00FA49D6"/>
    <w:rsid w:val="00FA5FE0"/>
    <w:rsid w:val="00FB376D"/>
    <w:rsid w:val="00FB7E62"/>
    <w:rsid w:val="00FC0F24"/>
    <w:rsid w:val="00FC1C05"/>
    <w:rsid w:val="00FC3A1E"/>
    <w:rsid w:val="00FC520B"/>
    <w:rsid w:val="00FC5CE9"/>
    <w:rsid w:val="00FD2D00"/>
    <w:rsid w:val="00FD43A4"/>
    <w:rsid w:val="00FD65A6"/>
    <w:rsid w:val="00FE41D8"/>
    <w:rsid w:val="00FE523B"/>
    <w:rsid w:val="00FE5F51"/>
    <w:rsid w:val="00FE6F05"/>
    <w:rsid w:val="00FF08F7"/>
    <w:rsid w:val="00FF4026"/>
    <w:rsid w:val="00FF6B74"/>
    <w:rsid w:val="00FF70F9"/>
    <w:rsid w:val="00FF7601"/>
    <w:rsid w:val="24EBA070"/>
    <w:rsid w:val="2DC46832"/>
    <w:rsid w:val="3CA1C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9A6D442"/>
  <w15:chartTrackingRefBased/>
  <w15:docId w15:val="{92512F5E-89FE-4CAF-80F1-B0E6CE744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styleId="AddressArea" w:customStyle="1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MainText" w:customStyle="1">
    <w:name w:val="Main Text"/>
    <w:basedOn w:val="Normln"/>
    <w:pPr>
      <w:spacing w:line="300" w:lineRule="exact"/>
      <w:ind w:left="120"/>
    </w:pPr>
    <w:rPr>
      <w:szCs w:val="20"/>
    </w:rPr>
  </w:style>
  <w:style w:type="paragraph" w:styleId="PRESSRELEASE" w:customStyle="1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styleId="PressTitle" w:customStyle="1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styleId="maintext0" w:customStyle="1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styleId="Body" w:customStyle="1">
    <w:name w:val="Body"/>
    <w:rsid w:val="00B81784"/>
    <w:rPr>
      <w:rFonts w:hAnsi="Arial Unicode MS" w:eastAsia="Arial Unicode MS" w:cs="Arial Unicode MS"/>
      <w:color w:val="000000"/>
      <w:sz w:val="24"/>
      <w:szCs w:val="24"/>
      <w:u w:color="000000"/>
      <w:lang w:val="en-US" w:eastAsia="zh-CN"/>
    </w:rPr>
  </w:style>
  <w:style w:type="character" w:styleId="Hyperlink1" w:customStyle="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hAnsi="Calibri" w:eastAsia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styleId="PedmtkomenteChar" w:customStyle="1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styleId="TextpoznpodarouChar" w:customStyle="1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rsid w:val="00F422F6"/>
  </w:style>
  <w:style w:type="paragraph" w:styleId="paragraph" w:customStyle="1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styleId="eop" w:customStyle="1">
    <w:name w:val="eop"/>
    <w:rsid w:val="00F422F6"/>
  </w:style>
  <w:style w:type="character" w:styleId="spellingerror" w:customStyle="1">
    <w:name w:val="spellingerror"/>
    <w:rsid w:val="00F422F6"/>
  </w:style>
  <w:style w:type="character" w:styleId="scxw231575668" w:customStyle="1">
    <w:name w:val="scxw231575668"/>
    <w:rsid w:val="00F422F6"/>
  </w:style>
  <w:style w:type="character" w:styleId="UnresolvedMention" w:customStyle="1">
    <w:name w:val="Unresolved Mention"/>
    <w:uiPriority w:val="99"/>
    <w:semiHidden/>
    <w:unhideWhenUsed/>
    <w:rsid w:val="009A7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kamila.cadkova@crestcom.cz" TargetMode="Externa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cbre.cz/" TargetMode="Externa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yperlink" Target="mailto:renata.mrazova@cbre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://www.crestcom.cz/cz" TargetMode="Externa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7B99-F5F5-41C7-B788-9EAF0C12E4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CBRE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 IMMEDIATE RELEASE ¾ July 24, 2003</dc:title>
  <dc:subject/>
  <dc:creator>CBRE</dc:creator>
  <keywords/>
  <lastModifiedBy>Dokumenty Crestcom</lastModifiedBy>
  <revision>4</revision>
  <lastPrinted>2021-04-30T15:42:00.0000000Z</lastPrinted>
  <dcterms:created xsi:type="dcterms:W3CDTF">2021-05-11T09:24:00.0000000Z</dcterms:created>
  <dcterms:modified xsi:type="dcterms:W3CDTF">2021-05-11T09:25:29.3704090Z</dcterms:modified>
</coreProperties>
</file>